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7CD6">
      <w:pPr>
        <w:spacing w:line="240" w:lineRule="auto"/>
        <w:rPr>
          <w:color w:val="auto"/>
          <w:highlight w:val="none"/>
        </w:rPr>
      </w:pPr>
    </w:p>
    <w:p w14:paraId="0160A46C">
      <w:pPr>
        <w:spacing w:line="240" w:lineRule="auto"/>
        <w:rPr>
          <w:color w:val="auto"/>
          <w:highlight w:val="none"/>
        </w:rPr>
      </w:pPr>
    </w:p>
    <w:p w14:paraId="12C7853F">
      <w:pPr>
        <w:spacing w:line="240" w:lineRule="auto"/>
        <w:rPr>
          <w:color w:val="auto"/>
          <w:highlight w:val="none"/>
        </w:rPr>
      </w:pPr>
    </w:p>
    <w:p w14:paraId="3C32B0AE">
      <w:pPr>
        <w:spacing w:line="240" w:lineRule="auto"/>
        <w:rPr>
          <w:color w:val="auto"/>
          <w:highlight w:val="none"/>
        </w:rPr>
      </w:pPr>
    </w:p>
    <w:p w14:paraId="66CBC15A">
      <w:pPr>
        <w:spacing w:line="24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项目编号</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SCMX-SC-2025-1019</w:t>
      </w:r>
    </w:p>
    <w:p w14:paraId="3AEF2762">
      <w:pPr>
        <w:spacing w:line="240" w:lineRule="auto"/>
        <w:rPr>
          <w:color w:val="auto"/>
          <w:highlight w:val="none"/>
        </w:rPr>
      </w:pPr>
    </w:p>
    <w:p w14:paraId="393F685C">
      <w:pPr>
        <w:spacing w:line="240" w:lineRule="auto"/>
        <w:rPr>
          <w:color w:val="auto"/>
          <w:highlight w:val="none"/>
        </w:rPr>
      </w:pPr>
    </w:p>
    <w:p w14:paraId="7DB89BB3">
      <w:pPr>
        <w:spacing w:line="240" w:lineRule="auto"/>
        <w:jc w:val="center"/>
        <w:rPr>
          <w:rFonts w:ascii="宋体" w:hAnsi="宋体" w:eastAsia="宋体" w:cs="宋体"/>
          <w:color w:val="auto"/>
          <w:spacing w:val="16"/>
          <w:sz w:val="47"/>
          <w:szCs w:val="47"/>
          <w:highlight w:val="none"/>
          <w14:textOutline w14:w="8712" w14:cap="sq" w14:cmpd="sng" w14:algn="ctr">
            <w14:solidFill>
              <w14:srgbClr w14:val="000000"/>
            </w14:solidFill>
            <w14:prstDash w14:val="solid"/>
            <w14:bevel/>
          </w14:textOutline>
        </w:rPr>
      </w:pPr>
    </w:p>
    <w:p w14:paraId="07B1B20F">
      <w:pPr>
        <w:spacing w:line="24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成都市技师学院2025年秋季至2028年春季新都校区食堂经营服务采购项目</w:t>
      </w:r>
    </w:p>
    <w:p w14:paraId="647D5712">
      <w:pPr>
        <w:spacing w:line="240" w:lineRule="auto"/>
        <w:rPr>
          <w:color w:val="auto"/>
          <w:highlight w:val="none"/>
        </w:rPr>
      </w:pPr>
    </w:p>
    <w:p w14:paraId="51FE9F4D">
      <w:pPr>
        <w:spacing w:line="240" w:lineRule="auto"/>
        <w:rPr>
          <w:color w:val="auto"/>
          <w:highlight w:val="none"/>
        </w:rPr>
      </w:pPr>
    </w:p>
    <w:p w14:paraId="1D667697">
      <w:pPr>
        <w:spacing w:line="240" w:lineRule="auto"/>
        <w:rPr>
          <w:color w:val="auto"/>
          <w:highlight w:val="none"/>
        </w:rPr>
      </w:pPr>
    </w:p>
    <w:p w14:paraId="4383052E">
      <w:pPr>
        <w:spacing w:line="240" w:lineRule="auto"/>
        <w:rPr>
          <w:color w:val="auto"/>
          <w:highlight w:val="none"/>
        </w:rPr>
      </w:pPr>
    </w:p>
    <w:p w14:paraId="529814EA">
      <w:pPr>
        <w:spacing w:line="240" w:lineRule="auto"/>
        <w:rPr>
          <w:color w:val="auto"/>
          <w:highlight w:val="none"/>
        </w:rPr>
      </w:pPr>
    </w:p>
    <w:p w14:paraId="4ABFECA2">
      <w:pPr>
        <w:spacing w:line="240" w:lineRule="auto"/>
        <w:rPr>
          <w:color w:val="auto"/>
          <w:highlight w:val="none"/>
        </w:rPr>
      </w:pPr>
    </w:p>
    <w:p w14:paraId="0D9FA36D">
      <w:pPr>
        <w:spacing w:line="240" w:lineRule="auto"/>
        <w:jc w:val="center"/>
        <w:rPr>
          <w:rFonts w:hint="eastAsia" w:eastAsia="宋体"/>
          <w:b/>
          <w:bCs/>
          <w:color w:val="auto"/>
          <w:sz w:val="72"/>
          <w:szCs w:val="72"/>
          <w:highlight w:val="none"/>
          <w:lang w:val="en-US" w:eastAsia="zh-CN"/>
        </w:rPr>
      </w:pPr>
    </w:p>
    <w:p w14:paraId="5CAF0FA0">
      <w:pPr>
        <w:spacing w:line="240" w:lineRule="auto"/>
        <w:jc w:val="center"/>
        <w:rPr>
          <w:color w:val="auto"/>
          <w:highlight w:val="none"/>
        </w:rPr>
      </w:pPr>
      <w:r>
        <w:rPr>
          <w:rFonts w:hint="eastAsia" w:eastAsia="宋体"/>
          <w:b/>
          <w:bCs/>
          <w:color w:val="auto"/>
          <w:sz w:val="72"/>
          <w:szCs w:val="72"/>
          <w:highlight w:val="none"/>
          <w:lang w:val="en-US" w:eastAsia="zh-CN"/>
        </w:rPr>
        <w:t>招标文件</w:t>
      </w:r>
    </w:p>
    <w:p w14:paraId="293FE90D">
      <w:pPr>
        <w:spacing w:line="240" w:lineRule="auto"/>
        <w:rPr>
          <w:color w:val="auto"/>
          <w:highlight w:val="none"/>
        </w:rPr>
      </w:pPr>
    </w:p>
    <w:p w14:paraId="6D2890E1">
      <w:pPr>
        <w:spacing w:line="240" w:lineRule="auto"/>
        <w:rPr>
          <w:color w:val="auto"/>
          <w:highlight w:val="none"/>
        </w:rPr>
      </w:pPr>
    </w:p>
    <w:p w14:paraId="50BD5B92">
      <w:pPr>
        <w:spacing w:line="240" w:lineRule="auto"/>
        <w:rPr>
          <w:color w:val="auto"/>
          <w:highlight w:val="none"/>
        </w:rPr>
      </w:pPr>
    </w:p>
    <w:p w14:paraId="0C4FB949">
      <w:pPr>
        <w:spacing w:line="240" w:lineRule="auto"/>
        <w:rPr>
          <w:color w:val="auto"/>
          <w:highlight w:val="none"/>
        </w:rPr>
      </w:pPr>
    </w:p>
    <w:p w14:paraId="7A0B43FA">
      <w:pPr>
        <w:spacing w:line="240" w:lineRule="auto"/>
        <w:rPr>
          <w:color w:val="auto"/>
          <w:highlight w:val="none"/>
        </w:rPr>
      </w:pPr>
    </w:p>
    <w:p w14:paraId="27191EAC">
      <w:pPr>
        <w:spacing w:line="240" w:lineRule="auto"/>
        <w:rPr>
          <w:color w:val="auto"/>
          <w:highlight w:val="none"/>
        </w:rPr>
      </w:pPr>
    </w:p>
    <w:p w14:paraId="44F3EC90">
      <w:pPr>
        <w:spacing w:line="240" w:lineRule="auto"/>
        <w:rPr>
          <w:color w:val="auto"/>
          <w:highlight w:val="none"/>
        </w:rPr>
      </w:pPr>
    </w:p>
    <w:p w14:paraId="193B6CD3">
      <w:pPr>
        <w:spacing w:line="240" w:lineRule="auto"/>
        <w:rPr>
          <w:color w:val="auto"/>
          <w:highlight w:val="none"/>
        </w:rPr>
      </w:pPr>
    </w:p>
    <w:p w14:paraId="3B793D49">
      <w:pPr>
        <w:spacing w:line="240" w:lineRule="auto"/>
        <w:rPr>
          <w:color w:val="auto"/>
          <w:highlight w:val="none"/>
        </w:rPr>
      </w:pPr>
    </w:p>
    <w:p w14:paraId="40FBB8DB">
      <w:pPr>
        <w:spacing w:line="240" w:lineRule="auto"/>
        <w:rPr>
          <w:color w:val="auto"/>
          <w:highlight w:val="none"/>
        </w:rPr>
      </w:pPr>
    </w:p>
    <w:p w14:paraId="615FC423">
      <w:pPr>
        <w:spacing w:line="240" w:lineRule="auto"/>
        <w:rPr>
          <w:color w:val="auto"/>
          <w:highlight w:val="none"/>
        </w:rPr>
      </w:pPr>
    </w:p>
    <w:p w14:paraId="2E71D3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四川</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成都</w:t>
      </w:r>
    </w:p>
    <w:p w14:paraId="101C9D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lang w:eastAsia="zh-CN"/>
        </w:rPr>
      </w:pPr>
      <w:bookmarkStart w:id="0" w:name="_Toc21667"/>
      <w:r>
        <w:rPr>
          <w:rFonts w:hint="eastAsia" w:ascii="宋体" w:hAnsi="宋体" w:eastAsia="宋体" w:cs="宋体"/>
          <w:b/>
          <w:bCs/>
          <w:color w:val="auto"/>
          <w:sz w:val="28"/>
          <w:szCs w:val="28"/>
          <w:highlight w:val="none"/>
        </w:rPr>
        <w:t>招标人：</w:t>
      </w:r>
      <w:bookmarkEnd w:id="0"/>
      <w:r>
        <w:rPr>
          <w:rFonts w:hint="eastAsia" w:ascii="宋体" w:hAnsi="宋体" w:eastAsia="宋体" w:cs="宋体"/>
          <w:b/>
          <w:bCs/>
          <w:color w:val="auto"/>
          <w:sz w:val="28"/>
          <w:szCs w:val="28"/>
          <w:highlight w:val="none"/>
          <w:lang w:eastAsia="zh-CN"/>
        </w:rPr>
        <w:t>成都市技师学院</w:t>
      </w:r>
    </w:p>
    <w:p w14:paraId="1ACEC7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color w:val="auto"/>
          <w:sz w:val="28"/>
          <w:szCs w:val="28"/>
          <w:highlight w:val="none"/>
          <w:lang w:val="en-US" w:eastAsia="zh-CN"/>
        </w:rPr>
      </w:pPr>
      <w:bookmarkStart w:id="1" w:name="_Toc8024"/>
      <w:r>
        <w:rPr>
          <w:rFonts w:hint="eastAsia" w:ascii="宋体" w:hAnsi="宋体" w:eastAsia="宋体" w:cs="宋体"/>
          <w:b/>
          <w:bCs/>
          <w:color w:val="auto"/>
          <w:sz w:val="28"/>
          <w:szCs w:val="28"/>
          <w:highlight w:val="none"/>
        </w:rPr>
        <w:t>招标代理机构：</w:t>
      </w:r>
      <w:bookmarkEnd w:id="1"/>
      <w:r>
        <w:rPr>
          <w:rFonts w:hint="eastAsia" w:ascii="宋体" w:hAnsi="宋体" w:eastAsia="宋体" w:cs="宋体"/>
          <w:b/>
          <w:bCs/>
          <w:color w:val="auto"/>
          <w:sz w:val="28"/>
          <w:szCs w:val="28"/>
          <w:highlight w:val="none"/>
          <w:lang w:val="en-US" w:eastAsia="zh-CN"/>
        </w:rPr>
        <w:t>四川铭信工程招标咨询有限公司</w:t>
      </w:r>
    </w:p>
    <w:p w14:paraId="7882F7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共同编制</w:t>
      </w:r>
    </w:p>
    <w:p w14:paraId="10107D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月</w:t>
      </w:r>
    </w:p>
    <w:p w14:paraId="164B52C2">
      <w:pPr>
        <w:pStyle w:val="4"/>
        <w:rPr>
          <w:highlight w:val="none"/>
        </w:rPr>
      </w:pPr>
    </w:p>
    <w:p w14:paraId="4DE0A563">
      <w:pPr>
        <w:spacing w:line="240" w:lineRule="auto"/>
        <w:rPr>
          <w:color w:val="auto"/>
          <w:highlight w:val="none"/>
        </w:rPr>
      </w:pPr>
    </w:p>
    <w:p w14:paraId="474EFA73">
      <w:pPr>
        <w:spacing w:line="240" w:lineRule="auto"/>
        <w:jc w:val="center"/>
        <w:rPr>
          <w:rFonts w:ascii="宋体" w:hAnsi="宋体" w:eastAsia="宋体"/>
          <w:color w:val="auto"/>
          <w:sz w:val="36"/>
          <w:szCs w:val="36"/>
          <w:highlight w:val="none"/>
        </w:rPr>
        <w:sectPr>
          <w:pgSz w:w="11905" w:h="16838"/>
          <w:pgMar w:top="1417" w:right="1417" w:bottom="1417" w:left="1417" w:header="0" w:footer="1134" w:gutter="0"/>
          <w:cols w:space="425" w:num="1"/>
        </w:sectPr>
      </w:pPr>
    </w:p>
    <w:sdt>
      <w:sdtPr>
        <w:rPr>
          <w:rFonts w:ascii="宋体" w:hAnsi="宋体" w:eastAsia="宋体"/>
          <w:color w:val="auto"/>
          <w:sz w:val="36"/>
          <w:szCs w:val="36"/>
          <w:highlight w:val="none"/>
        </w:rPr>
        <w:id w:val="147468591"/>
        <w15:color w:val="DBDBDB"/>
        <w:docPartObj>
          <w:docPartGallery w:val="Table of Contents"/>
          <w:docPartUnique/>
        </w:docPartObj>
      </w:sdtPr>
      <w:sdtEndPr>
        <w:rPr>
          <w:rFonts w:ascii="Arial" w:hAnsi="Arial" w:eastAsia="Arial"/>
          <w:color w:val="auto"/>
          <w:sz w:val="21"/>
          <w:szCs w:val="21"/>
          <w:highlight w:val="none"/>
        </w:rPr>
      </w:sdtEndPr>
      <w:sdtContent>
        <w:p w14:paraId="618DE203">
          <w:pPr>
            <w:spacing w:line="240" w:lineRule="auto"/>
            <w:jc w:val="center"/>
            <w:rPr>
              <w:rFonts w:ascii="宋体" w:hAnsi="宋体" w:eastAsia="宋体"/>
              <w:color w:val="auto"/>
              <w:sz w:val="36"/>
              <w:szCs w:val="36"/>
              <w:highlight w:val="none"/>
            </w:rPr>
          </w:pPr>
        </w:p>
        <w:p w14:paraId="16643B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sz w:val="36"/>
              <w:szCs w:val="36"/>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rPr>
            <w:t xml:space="preserve">  </w:t>
          </w:r>
          <w:r>
            <w:rPr>
              <w:rFonts w:ascii="宋体" w:hAnsi="宋体" w:eastAsia="宋体"/>
              <w:color w:val="auto"/>
              <w:sz w:val="36"/>
              <w:szCs w:val="36"/>
              <w:highlight w:val="none"/>
            </w:rPr>
            <w:t>录</w:t>
          </w:r>
        </w:p>
        <w:p w14:paraId="4AD93F5D">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TOC \o "1-3" \h \u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_Toc5352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w:t>
          </w:r>
          <w:r>
            <w:rPr>
              <w:rFonts w:hint="eastAsia" w:ascii="宋体" w:hAnsi="宋体" w:eastAsia="宋体" w:cs="宋体"/>
              <w:b w:val="0"/>
              <w:bCs w:val="0"/>
              <w:color w:val="000000" w:themeColor="text1"/>
              <w:spacing w:val="8"/>
              <w:sz w:val="24"/>
              <w:szCs w:val="24"/>
              <w:highlight w:val="none"/>
              <w14:textFill>
                <w14:solidFill>
                  <w14:schemeClr w14:val="tx1"/>
                </w14:solidFill>
              </w14:textFill>
            </w:rPr>
            <w:t>一章</w:t>
          </w:r>
          <w:r>
            <w:rPr>
              <w:rFonts w:hint="eastAsia" w:ascii="宋体" w:hAnsi="宋体" w:eastAsia="宋体" w:cs="宋体"/>
              <w:b w:val="0"/>
              <w:bCs w:val="0"/>
              <w:color w:val="000000" w:themeColor="text1"/>
              <w:spacing w:val="8"/>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8"/>
              <w:sz w:val="24"/>
              <w:szCs w:val="24"/>
              <w:highlight w:val="none"/>
              <w14:textFill>
                <w14:solidFill>
                  <w14:schemeClr w14:val="tx1"/>
                </w14:solidFill>
              </w14:textFill>
            </w:rPr>
            <w:t>投标邀请</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_Toc5352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152977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_Toc25715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第二章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投标人须知</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_Toc25715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E55A7B6">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_Toc8441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第三章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投标文件格式</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_Toc8441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17</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55E665A1">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_Toc7001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第四章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投标人和投标产品的资格、资质性及其他类似效力要求</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_Toc7001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36</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29916304">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_Toc19967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第五章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投标人应当提供的资格、资质性及其他类似效力要求的相关证明材料</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_Toc19967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37</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03D5C5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_Toc11176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第六章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招标项目技术、服务及商务要求</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_Toc11176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38</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3B7F46C">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_Toc27597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第七章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评标办法</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_Toc27597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47</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5CCB6ED1">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_Toc13042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第八章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合同主要条款</w:t>
          </w:r>
          <w:r>
            <w:rPr>
              <w:rFonts w:hint="eastAsia" w:ascii="宋体" w:hAnsi="宋体" w:eastAsia="宋体" w:cs="宋体"/>
              <w:b w:val="0"/>
              <w:bCs w:val="0"/>
              <w:color w:val="000000" w:themeColor="text1"/>
              <w:sz w:val="24"/>
              <w:szCs w:val="24"/>
              <w:highlight w:val="none"/>
              <w14:textFill>
                <w14:solidFill>
                  <w14:schemeClr w14:val="tx1"/>
                </w14:solidFill>
              </w14:textFill>
            </w:rPr>
            <w:tab/>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PAGEREF _Toc13042 \h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55</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4F813F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r>
            <w:rPr>
              <w:rFonts w:hint="eastAsia" w:ascii="宋体" w:hAnsi="宋体" w:eastAsia="宋体" w:cs="宋体"/>
              <w:b w:val="0"/>
              <w:bCs w:val="0"/>
              <w:color w:val="000000" w:themeColor="text1"/>
              <w:highlight w:val="none"/>
              <w14:textFill>
                <w14:solidFill>
                  <w14:schemeClr w14:val="tx1"/>
                </w14:solidFill>
              </w14:textFill>
            </w:rPr>
            <w:fldChar w:fldCharType="end"/>
          </w:r>
        </w:p>
      </w:sdtContent>
    </w:sdt>
    <w:p w14:paraId="64EEE2EA">
      <w:pPr>
        <w:spacing w:line="240" w:lineRule="auto"/>
        <w:rPr>
          <w:color w:val="auto"/>
          <w:highlight w:val="none"/>
        </w:rPr>
      </w:pPr>
    </w:p>
    <w:p w14:paraId="675CD9BE">
      <w:pPr>
        <w:spacing w:line="240" w:lineRule="auto"/>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br w:type="page"/>
      </w:r>
    </w:p>
    <w:p w14:paraId="5D037CB3">
      <w:pPr>
        <w:spacing w:before="114" w:line="240" w:lineRule="auto"/>
        <w:jc w:val="center"/>
        <w:outlineLvl w:val="0"/>
        <w:rPr>
          <w:rFonts w:ascii="宋体" w:hAnsi="宋体" w:eastAsia="宋体" w:cs="宋体"/>
          <w:b w:val="0"/>
          <w:bCs w:val="0"/>
          <w:color w:val="auto"/>
          <w:sz w:val="36"/>
          <w:szCs w:val="36"/>
          <w:highlight w:val="none"/>
        </w:rPr>
      </w:pPr>
      <w:bookmarkStart w:id="2" w:name="_Toc5352"/>
      <w:r>
        <w:rPr>
          <w:rFonts w:hint="eastAsia" w:ascii="宋体" w:hAnsi="宋体" w:eastAsia="宋体" w:cs="宋体"/>
          <w:b w:val="0"/>
          <w:bCs w:val="0"/>
          <w:color w:val="auto"/>
          <w:spacing w:val="11"/>
          <w:sz w:val="36"/>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b w:val="0"/>
          <w:bCs w:val="0"/>
          <w:color w:val="auto"/>
          <w:spacing w:val="8"/>
          <w:sz w:val="36"/>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b w:val="0"/>
          <w:bCs w:val="0"/>
          <w:color w:val="auto"/>
          <w:spacing w:val="8"/>
          <w:sz w:val="36"/>
          <w:szCs w:val="36"/>
          <w:highlight w:val="none"/>
        </w:rPr>
        <w:t xml:space="preserve">  </w:t>
      </w:r>
      <w:r>
        <w:rPr>
          <w:rFonts w:hint="eastAsia" w:ascii="宋体" w:hAnsi="宋体" w:eastAsia="宋体" w:cs="宋体"/>
          <w:b w:val="0"/>
          <w:bCs w:val="0"/>
          <w:color w:val="auto"/>
          <w:spacing w:val="8"/>
          <w:sz w:val="36"/>
          <w:szCs w:val="36"/>
          <w:highlight w:val="none"/>
          <w14:textOutline w14:w="6540" w14:cap="sq" w14:cmpd="sng" w14:algn="ctr">
            <w14:solidFill>
              <w14:srgbClr w14:val="000000"/>
            </w14:solidFill>
            <w14:prstDash w14:val="solid"/>
            <w14:bevel/>
          </w14:textOutline>
        </w:rPr>
        <w:t>投标邀请</w:t>
      </w:r>
      <w:bookmarkEnd w:id="2"/>
    </w:p>
    <w:p w14:paraId="321700E4">
      <w:pPr>
        <w:spacing w:line="240" w:lineRule="auto"/>
        <w:rPr>
          <w:color w:val="auto"/>
          <w:highlight w:val="none"/>
        </w:rPr>
      </w:pPr>
    </w:p>
    <w:p w14:paraId="3A76C8A1">
      <w:pPr>
        <w:spacing w:line="240" w:lineRule="auto"/>
        <w:rPr>
          <w:color w:val="auto"/>
          <w:highlight w:val="none"/>
        </w:rPr>
      </w:pPr>
    </w:p>
    <w:p w14:paraId="183897C6">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四川铭信工程招标咨询有限公司（</w:t>
      </w:r>
      <w:r>
        <w:rPr>
          <w:rFonts w:hint="eastAsia" w:ascii="宋体" w:hAnsi="宋体" w:eastAsia="宋体" w:cs="宋体"/>
          <w:b/>
          <w:bCs/>
          <w:color w:val="auto"/>
          <w:sz w:val="24"/>
          <w:szCs w:val="24"/>
          <w:highlight w:val="none"/>
          <w:u w:val="single"/>
          <w:lang w:val="en-US" w:eastAsia="zh-CN"/>
        </w:rPr>
        <w:t>招标</w:t>
      </w:r>
      <w:r>
        <w:rPr>
          <w:rFonts w:hint="eastAsia" w:ascii="宋体" w:hAnsi="宋体" w:eastAsia="宋体" w:cs="宋体"/>
          <w:b/>
          <w:bCs/>
          <w:color w:val="auto"/>
          <w:sz w:val="24"/>
          <w:szCs w:val="24"/>
          <w:highlight w:val="none"/>
          <w:u w:val="single"/>
          <w:lang w:eastAsia="zh-CN"/>
        </w:rPr>
        <w:t>代理机构）</w:t>
      </w:r>
      <w:r>
        <w:rPr>
          <w:rFonts w:ascii="宋体" w:hAnsi="宋体" w:eastAsia="宋体" w:cs="宋体"/>
          <w:color w:val="auto"/>
          <w:sz w:val="24"/>
          <w:szCs w:val="24"/>
          <w:highlight w:val="none"/>
        </w:rPr>
        <w:t>受</w:t>
      </w:r>
      <w:r>
        <w:rPr>
          <w:rFonts w:hint="eastAsia" w:ascii="宋体" w:hAnsi="宋体" w:eastAsia="宋体" w:cs="宋体"/>
          <w:b/>
          <w:bCs/>
          <w:color w:val="auto"/>
          <w:sz w:val="24"/>
          <w:szCs w:val="24"/>
          <w:highlight w:val="none"/>
          <w:u w:val="single"/>
          <w:lang w:eastAsia="zh-CN"/>
        </w:rPr>
        <w:t>成都市技师学院（</w:t>
      </w:r>
      <w:r>
        <w:rPr>
          <w:rFonts w:hint="eastAsia" w:ascii="宋体" w:hAnsi="宋体" w:eastAsia="宋体" w:cs="宋体"/>
          <w:b/>
          <w:bCs/>
          <w:color w:val="auto"/>
          <w:sz w:val="24"/>
          <w:szCs w:val="24"/>
          <w:highlight w:val="none"/>
          <w:u w:val="single"/>
          <w:lang w:val="en-US" w:eastAsia="zh-CN"/>
        </w:rPr>
        <w:t>招标人</w:t>
      </w:r>
      <w:r>
        <w:rPr>
          <w:rFonts w:hint="eastAsia" w:ascii="宋体" w:hAnsi="宋体" w:eastAsia="宋体" w:cs="宋体"/>
          <w:b/>
          <w:bCs/>
          <w:color w:val="auto"/>
          <w:sz w:val="24"/>
          <w:szCs w:val="24"/>
          <w:highlight w:val="none"/>
          <w:u w:val="single"/>
          <w:lang w:eastAsia="zh-CN"/>
        </w:rPr>
        <w:t>）</w:t>
      </w:r>
      <w:r>
        <w:rPr>
          <w:rFonts w:ascii="宋体" w:hAnsi="宋体" w:eastAsia="宋体" w:cs="宋体"/>
          <w:color w:val="auto"/>
          <w:sz w:val="24"/>
          <w:szCs w:val="24"/>
          <w:highlight w:val="none"/>
        </w:rPr>
        <w:t>委托，拟对</w:t>
      </w:r>
      <w:r>
        <w:rPr>
          <w:rFonts w:hint="eastAsia" w:ascii="宋体" w:hAnsi="宋体" w:eastAsia="宋体" w:cs="宋体"/>
          <w:b/>
          <w:bCs/>
          <w:color w:val="auto"/>
          <w:sz w:val="24"/>
          <w:szCs w:val="24"/>
          <w:highlight w:val="none"/>
          <w:u w:val="single"/>
          <w:lang w:eastAsia="zh-CN"/>
        </w:rPr>
        <w:t>成都市技师学院2025年秋季至2028年春季新都校区食堂经营服务采购项目</w:t>
      </w:r>
      <w:r>
        <w:rPr>
          <w:rFonts w:ascii="宋体" w:hAnsi="宋体" w:eastAsia="宋体" w:cs="宋体"/>
          <w:color w:val="auto"/>
          <w:sz w:val="24"/>
          <w:szCs w:val="24"/>
          <w:highlight w:val="none"/>
        </w:rPr>
        <w:t>进行国内公开招标，兹邀请符合本次招标要求的</w:t>
      </w:r>
      <w:r>
        <w:rPr>
          <w:rFonts w:hint="eastAsia" w:ascii="宋体" w:hAnsi="宋体" w:eastAsia="宋体" w:cs="宋体"/>
          <w:color w:val="auto"/>
          <w:sz w:val="24"/>
          <w:szCs w:val="24"/>
          <w:highlight w:val="none"/>
          <w:lang w:val="en-US" w:eastAsia="zh-CN"/>
        </w:rPr>
        <w:t>潜在投标人</w:t>
      </w:r>
      <w:r>
        <w:rPr>
          <w:rFonts w:ascii="宋体" w:hAnsi="宋体" w:eastAsia="宋体" w:cs="宋体"/>
          <w:color w:val="auto"/>
          <w:sz w:val="24"/>
          <w:szCs w:val="24"/>
          <w:highlight w:val="none"/>
        </w:rPr>
        <w:t>参加投标。</w:t>
      </w:r>
    </w:p>
    <w:p w14:paraId="61F89EA7">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项目编号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SCMX-SC-2025-1019</w:t>
      </w:r>
      <w:r>
        <w:rPr>
          <w:rFonts w:hint="eastAsia" w:ascii="宋体" w:hAnsi="宋体" w:eastAsia="宋体" w:cs="宋体"/>
          <w:b/>
          <w:bCs/>
          <w:color w:val="auto"/>
          <w:sz w:val="24"/>
          <w:szCs w:val="24"/>
          <w:highlight w:val="none"/>
        </w:rPr>
        <w:t xml:space="preserve"> </w:t>
      </w:r>
    </w:p>
    <w:p w14:paraId="5E04148A">
      <w:pPr>
        <w:spacing w:line="24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项目名称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成都市技师学院2025年秋季至2028年春季新都校区食堂经营服务采购项目</w:t>
      </w:r>
    </w:p>
    <w:p w14:paraId="53E526ED">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三、预算金额：</w:t>
      </w:r>
      <w:r>
        <w:rPr>
          <w:rFonts w:hint="eastAsia" w:ascii="宋体" w:hAnsi="宋体" w:eastAsia="宋体" w:cs="宋体"/>
          <w:b/>
          <w:bCs/>
          <w:color w:val="auto"/>
          <w:sz w:val="24"/>
          <w:szCs w:val="24"/>
          <w:highlight w:val="none"/>
          <w:lang w:val="en-US" w:eastAsia="zh-CN"/>
        </w:rPr>
        <w:t>不涉及</w:t>
      </w:r>
    </w:p>
    <w:p w14:paraId="482D143D">
      <w:pPr>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default"/>
          <w:highlight w:val="none"/>
          <w:lang w:val="en-US" w:eastAsia="zh-CN"/>
        </w:rPr>
      </w:pPr>
      <w:r>
        <w:rPr>
          <w:rFonts w:hint="eastAsia" w:ascii="宋体" w:hAnsi="宋体" w:eastAsia="宋体" w:cs="宋体"/>
          <w:b/>
          <w:bCs/>
          <w:color w:val="auto"/>
          <w:sz w:val="24"/>
          <w:szCs w:val="24"/>
          <w:highlight w:val="none"/>
        </w:rPr>
        <w:t>四、招标项目简介：</w:t>
      </w:r>
      <w:r>
        <w:rPr>
          <w:rFonts w:hint="eastAsia" w:ascii="宋体" w:hAnsi="宋体" w:eastAsia="宋体" w:cs="宋体"/>
          <w:b/>
          <w:bCs/>
          <w:color w:val="auto"/>
          <w:sz w:val="24"/>
          <w:szCs w:val="24"/>
          <w:highlight w:val="none"/>
          <w:lang w:val="en-US" w:eastAsia="zh-CN"/>
        </w:rPr>
        <w:t>采购人新都校区食堂面积约为1060㎡；现该校区在校师生规模约750人。本项目拟采购一名投标人，负责新都校区食堂经营和日常管理，为新都校区师生提供安全卫生营养的三餐服务。</w:t>
      </w:r>
    </w:p>
    <w:p w14:paraId="603393F2">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参加本次采购活动，应当在提交投标文件前具备下列条件：</w:t>
      </w:r>
    </w:p>
    <w:p w14:paraId="43ECFCF9">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1.具有独立承担民事责任的能力；</w:t>
      </w:r>
    </w:p>
    <w:p w14:paraId="44750FD5">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2.具有良好的商业信誉和健全的财务会计制度；</w:t>
      </w:r>
    </w:p>
    <w:p w14:paraId="1DA430B7">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3.具有履行合同所必需的设备和专业技术能力；</w:t>
      </w:r>
    </w:p>
    <w:p w14:paraId="2194709D">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4.有依法缴纳税收和社会保障资金的良好记录；</w:t>
      </w:r>
    </w:p>
    <w:p w14:paraId="64445280">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5.参加</w:t>
      </w:r>
      <w:r>
        <w:rPr>
          <w:rFonts w:hint="eastAsia" w:ascii="宋体" w:hAnsi="宋体" w:eastAsia="宋体" w:cs="宋体"/>
          <w:color w:val="auto"/>
          <w:position w:val="1"/>
          <w:sz w:val="24"/>
          <w:szCs w:val="24"/>
          <w:highlight w:val="none"/>
          <w:lang w:val="en-US" w:eastAsia="zh-CN"/>
        </w:rPr>
        <w:t>本次</w:t>
      </w:r>
      <w:r>
        <w:rPr>
          <w:rFonts w:hint="eastAsia" w:ascii="宋体" w:hAnsi="宋体" w:eastAsia="宋体" w:cs="宋体"/>
          <w:color w:val="auto"/>
          <w:position w:val="1"/>
          <w:sz w:val="24"/>
          <w:szCs w:val="24"/>
          <w:highlight w:val="none"/>
        </w:rPr>
        <w:t>采购活动前三年内，在经营活动中没有重大违法记录；</w:t>
      </w:r>
    </w:p>
    <w:p w14:paraId="14272C7C">
      <w:pPr>
        <w:spacing w:line="240" w:lineRule="auto"/>
        <w:ind w:firstLine="480" w:firstLineChars="200"/>
        <w:rPr>
          <w:rFonts w:hint="default" w:ascii="宋体" w:hAnsi="宋体" w:eastAsia="宋体" w:cs="宋体"/>
          <w:color w:val="auto"/>
          <w:position w:val="1"/>
          <w:sz w:val="24"/>
          <w:szCs w:val="24"/>
          <w:highlight w:val="none"/>
          <w:lang w:val="en-US" w:eastAsia="zh-CN"/>
        </w:rPr>
      </w:pPr>
      <w:r>
        <w:rPr>
          <w:rFonts w:hint="eastAsia" w:ascii="宋体" w:hAnsi="宋体" w:eastAsia="宋体" w:cs="宋体"/>
          <w:color w:val="auto"/>
          <w:position w:val="1"/>
          <w:sz w:val="24"/>
          <w:szCs w:val="24"/>
          <w:highlight w:val="none"/>
          <w:lang w:val="en-US" w:eastAsia="zh-CN"/>
        </w:rPr>
        <w:t>6.法律、行政法规规定的其他条件。</w:t>
      </w:r>
    </w:p>
    <w:p w14:paraId="5357BF53">
      <w:pPr>
        <w:spacing w:line="240" w:lineRule="auto"/>
        <w:ind w:firstLine="482" w:firstLineChars="200"/>
        <w:rPr>
          <w:rFonts w:hint="eastAsia" w:eastAsia="宋体"/>
          <w:b/>
          <w:bCs/>
          <w:highlight w:val="none"/>
          <w:lang w:val="en-US" w:eastAsia="zh-CN"/>
        </w:rPr>
      </w:pPr>
      <w:bookmarkStart w:id="3" w:name="_Toc17420"/>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本项目不接受联合体投标</w:t>
      </w:r>
      <w:bookmarkEnd w:id="3"/>
      <w:r>
        <w:rPr>
          <w:rFonts w:hint="eastAsia" w:ascii="宋体" w:hAnsi="宋体" w:eastAsia="宋体" w:cs="宋体"/>
          <w:b/>
          <w:bCs/>
          <w:color w:val="auto"/>
          <w:sz w:val="24"/>
          <w:szCs w:val="24"/>
          <w:highlight w:val="none"/>
          <w:lang w:eastAsia="zh-CN"/>
        </w:rPr>
        <w:t>。</w:t>
      </w:r>
    </w:p>
    <w:p w14:paraId="2700B72E">
      <w:pPr>
        <w:spacing w:line="240" w:lineRule="auto"/>
        <w:ind w:firstLine="482" w:firstLineChars="200"/>
        <w:rPr>
          <w:rFonts w:hint="eastAsia" w:ascii="宋体" w:hAnsi="宋体" w:eastAsia="宋体" w:cs="宋体"/>
          <w:b/>
          <w:bCs/>
          <w:color w:val="auto"/>
          <w:sz w:val="24"/>
          <w:szCs w:val="24"/>
          <w:highlight w:val="none"/>
          <w:lang w:eastAsia="zh-CN"/>
        </w:rPr>
      </w:pPr>
      <w:bookmarkStart w:id="4" w:name="_Toc13310"/>
      <w:r>
        <w:rPr>
          <w:rFonts w:hint="eastAsia" w:ascii="宋体" w:hAnsi="宋体" w:eastAsia="宋体" w:cs="宋体"/>
          <w:b/>
          <w:bCs/>
          <w:color w:val="auto"/>
          <w:sz w:val="24"/>
          <w:szCs w:val="24"/>
          <w:highlight w:val="none"/>
        </w:rPr>
        <w:t>六、严禁参加本次</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活动的</w:t>
      </w:r>
      <w:bookmarkEnd w:id="4"/>
      <w:r>
        <w:rPr>
          <w:rFonts w:hint="eastAsia" w:ascii="宋体" w:hAnsi="宋体" w:eastAsia="宋体" w:cs="宋体"/>
          <w:b/>
          <w:bCs/>
          <w:color w:val="auto"/>
          <w:sz w:val="24"/>
          <w:szCs w:val="24"/>
          <w:highlight w:val="none"/>
          <w:lang w:eastAsia="zh-CN"/>
        </w:rPr>
        <w:t>投标人</w:t>
      </w:r>
    </w:p>
    <w:p w14:paraId="79E21BF3">
      <w:pPr>
        <w:tabs>
          <w:tab w:val="left" w:pos="148"/>
        </w:tabs>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将通过“信用中国”网站（www.creditchina.gov.cn）、“中国政府采购网”网站（www.ccgp.gov.cn）等渠道在递交投标文件截止之日查询投标人在递交投标文件截止时间前的信用记录并保存信用记录结果网页截图，被列入失信被执行人名单、重大税收违法失信主体名单、政府采购严重违法失信行为记录名单中的投标人（以联合体形式参加采购活动，联合体成员存在不良信用记录的，视同联合体存在不良信用记录），资格审查不予通过，其投标文件作无效投标处理。</w:t>
      </w:r>
    </w:p>
    <w:p w14:paraId="3E33D81C">
      <w:pPr>
        <w:tabs>
          <w:tab w:val="left" w:pos="148"/>
        </w:tabs>
        <w:spacing w:line="24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2.单位负责人为同一人或者存在控股、管理关系的不同单位，不得参加同一标包投标或者未划分标包的同一招标项目投标。否则，相关投标文件均作为无效处理</w:t>
      </w:r>
      <w:r>
        <w:rPr>
          <w:rFonts w:ascii="宋体" w:hAnsi="宋体" w:eastAsia="宋体" w:cs="宋体"/>
          <w:color w:val="auto"/>
          <w:sz w:val="24"/>
          <w:szCs w:val="24"/>
          <w:highlight w:val="none"/>
        </w:rPr>
        <w:t>。</w:t>
      </w:r>
    </w:p>
    <w:p w14:paraId="0ACC4438">
      <w:pPr>
        <w:spacing w:line="240" w:lineRule="auto"/>
        <w:ind w:firstLine="482" w:firstLineChars="200"/>
        <w:rPr>
          <w:rFonts w:ascii="宋体" w:hAnsi="宋体" w:eastAsia="宋体" w:cs="宋体"/>
          <w:b/>
          <w:bCs/>
          <w:color w:val="auto"/>
          <w:sz w:val="24"/>
          <w:szCs w:val="24"/>
          <w:highlight w:val="none"/>
        </w:rPr>
      </w:pPr>
      <w:bookmarkStart w:id="5" w:name="_Toc20036"/>
      <w:r>
        <w:rPr>
          <w:rFonts w:hint="eastAsia" w:ascii="宋体" w:hAnsi="宋体" w:eastAsia="宋体" w:cs="宋体"/>
          <w:b/>
          <w:bCs/>
          <w:color w:val="auto"/>
          <w:sz w:val="24"/>
          <w:szCs w:val="24"/>
          <w:highlight w:val="none"/>
        </w:rPr>
        <w:t>七、招标文件获取</w:t>
      </w:r>
      <w:bookmarkEnd w:id="5"/>
    </w:p>
    <w:p w14:paraId="6B071330">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文件自202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日至202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日9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00-12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00，14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00-17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00可通过</w:t>
      </w:r>
      <w:r>
        <w:rPr>
          <w:rFonts w:hint="eastAsia" w:ascii="宋体" w:hAnsi="宋体" w:eastAsia="宋体" w:cs="宋体"/>
          <w:b w:val="0"/>
          <w:bCs w:val="0"/>
          <w:color w:val="auto"/>
          <w:sz w:val="24"/>
          <w:szCs w:val="24"/>
          <w:highlight w:val="none"/>
          <w:lang w:val="en-US" w:eastAsia="zh-CN"/>
        </w:rPr>
        <w:t>网络报名</w:t>
      </w:r>
      <w:r>
        <w:rPr>
          <w:rFonts w:hint="eastAsia" w:ascii="宋体" w:hAnsi="宋体" w:eastAsia="宋体" w:cs="宋体"/>
          <w:b w:val="0"/>
          <w:bCs w:val="0"/>
          <w:color w:val="auto"/>
          <w:sz w:val="24"/>
          <w:szCs w:val="24"/>
          <w:highlight w:val="none"/>
        </w:rPr>
        <w:t>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文件售价300元/份（</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文件售后不退，</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资格不能转让）。</w:t>
      </w:r>
    </w:p>
    <w:p w14:paraId="52CE978C">
      <w:pPr>
        <w:tabs>
          <w:tab w:val="left" w:pos="148"/>
        </w:tabs>
        <w:spacing w:line="240" w:lineRule="auto"/>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网络</w:t>
      </w:r>
      <w:r>
        <w:rPr>
          <w:rFonts w:hint="eastAsia" w:ascii="宋体" w:hAnsi="宋体" w:eastAsia="宋体" w:cs="宋体"/>
          <w:b w:val="0"/>
          <w:bCs w:val="0"/>
          <w:color w:val="auto"/>
          <w:sz w:val="24"/>
          <w:szCs w:val="24"/>
          <w:highlight w:val="none"/>
        </w:rPr>
        <w:t>报名：提供单位介绍信、经办人身份证复印件（以上资料均盖单位公章）及报名费转账回执单复印件，扫描后在以下链接（https://f.wps.cn/g/L5gHMaiU/），填写报名信息并上传相关资料，由我司</w:t>
      </w:r>
      <w:bookmarkStart w:id="192" w:name="_GoBack"/>
      <w:bookmarkEnd w:id="192"/>
      <w:r>
        <w:rPr>
          <w:rFonts w:hint="eastAsia" w:ascii="宋体" w:hAnsi="宋体" w:eastAsia="宋体" w:cs="宋体"/>
          <w:b w:val="0"/>
          <w:bCs w:val="0"/>
          <w:color w:val="auto"/>
          <w:sz w:val="24"/>
          <w:szCs w:val="24"/>
          <w:highlight w:val="none"/>
        </w:rPr>
        <w:t>工作人员审核后回复报名邮件；在</w:t>
      </w:r>
      <w:r>
        <w:rPr>
          <w:rFonts w:hint="eastAsia" w:ascii="宋体" w:hAnsi="宋体" w:eastAsia="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rPr>
        <w:t>文件获取截止时间前（以到账时间为准）转款缴费成功视为报名成功</w:t>
      </w:r>
      <w:r>
        <w:rPr>
          <w:rFonts w:hint="eastAsia" w:ascii="宋体" w:hAnsi="宋体" w:eastAsia="宋体" w:cs="宋体"/>
          <w:b w:val="0"/>
          <w:bCs w:val="0"/>
          <w:color w:val="auto"/>
          <w:sz w:val="24"/>
          <w:szCs w:val="24"/>
          <w:highlight w:val="none"/>
          <w:lang w:eastAsia="zh-CN"/>
        </w:rPr>
        <w:t>。</w:t>
      </w:r>
    </w:p>
    <w:p w14:paraId="3EB2072C">
      <w:pPr>
        <w:tabs>
          <w:tab w:val="left" w:pos="148"/>
        </w:tabs>
        <w:spacing w:line="24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报名费交款方式：银行转账</w:t>
      </w:r>
      <w:r>
        <w:rPr>
          <w:rFonts w:hint="eastAsia" w:ascii="宋体" w:hAnsi="宋体" w:eastAsia="宋体" w:cs="宋体"/>
          <w:b w:val="0"/>
          <w:bCs w:val="0"/>
          <w:color w:val="auto"/>
          <w:sz w:val="24"/>
          <w:szCs w:val="24"/>
          <w:highlight w:val="none"/>
          <w:lang w:eastAsia="zh-CN"/>
        </w:rPr>
        <w:t>（从供应商单位账户转账至以下银行账户）</w:t>
      </w:r>
    </w:p>
    <w:p w14:paraId="0A0B9D49">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收款单位：四川铭信工程招标咨询有限公司</w:t>
      </w:r>
    </w:p>
    <w:p w14:paraId="484B2C20">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开户银行：四川银行股份有限公司成都天府广场支行</w:t>
      </w:r>
    </w:p>
    <w:p w14:paraId="420997F0">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账    号：78220100072502592</w:t>
      </w:r>
    </w:p>
    <w:p w14:paraId="50773785">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转账备注：</w:t>
      </w:r>
      <w:r>
        <w:rPr>
          <w:rFonts w:hint="eastAsia" w:ascii="宋体" w:hAnsi="宋体" w:eastAsia="宋体" w:cs="宋体"/>
          <w:b w:val="0"/>
          <w:bCs w:val="0"/>
          <w:color w:val="auto"/>
          <w:sz w:val="24"/>
          <w:szCs w:val="24"/>
          <w:highlight w:val="none"/>
          <w:lang w:eastAsia="zh-CN"/>
        </w:rPr>
        <w:t>成都市技师学院2025年秋季至2028年春季新都校区食堂经营服务采购项目</w:t>
      </w:r>
      <w:r>
        <w:rPr>
          <w:rFonts w:hint="eastAsia" w:ascii="宋体" w:hAnsi="宋体" w:eastAsia="宋体" w:cs="宋体"/>
          <w:b w:val="0"/>
          <w:bCs w:val="0"/>
          <w:color w:val="auto"/>
          <w:sz w:val="24"/>
          <w:szCs w:val="24"/>
          <w:highlight w:val="none"/>
        </w:rPr>
        <w:t>报名费（可简称）</w:t>
      </w:r>
    </w:p>
    <w:p w14:paraId="02B45F7A">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八、投标截止时间和开标时间：</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p>
    <w:p w14:paraId="295967C5">
      <w:pPr>
        <w:spacing w:line="240"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投标文件必须在投标截止时间前送达开标地点。逾期送达的投标文件不予接收。本次招标不接受邮寄的投标文件。</w:t>
      </w:r>
    </w:p>
    <w:p w14:paraId="7D217758">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九、开标地点：</w:t>
      </w:r>
      <w:r>
        <w:rPr>
          <w:rFonts w:hint="eastAsia" w:ascii="宋体" w:hAnsi="宋体" w:eastAsia="宋体" w:cs="宋体"/>
          <w:b/>
          <w:bCs/>
          <w:color w:val="auto"/>
          <w:sz w:val="24"/>
          <w:szCs w:val="24"/>
          <w:highlight w:val="none"/>
          <w:lang w:val="en-US" w:eastAsia="zh-CN"/>
        </w:rPr>
        <w:t>成都市武侯区环球中心N3区19楼18号四川铭信工程招标咨询有限公司本项目开标室</w:t>
      </w:r>
    </w:p>
    <w:p w14:paraId="0E21169A">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十、本投标邀请在中国招标投标公共服务平台（http://www.cebpubservice.com/）上以公告形式发布</w:t>
      </w:r>
    </w:p>
    <w:p w14:paraId="1E7AA55F">
      <w:pPr>
        <w:spacing w:line="240" w:lineRule="auto"/>
        <w:ind w:firstLine="482" w:firstLineChars="200"/>
        <w:rPr>
          <w:rFonts w:ascii="宋体" w:hAnsi="宋体" w:eastAsia="宋体" w:cs="宋体"/>
          <w:b/>
          <w:bCs/>
          <w:color w:val="auto"/>
          <w:sz w:val="24"/>
          <w:szCs w:val="24"/>
          <w:highlight w:val="none"/>
        </w:rPr>
      </w:pPr>
      <w:bookmarkStart w:id="6" w:name="_Toc31952"/>
      <w:r>
        <w:rPr>
          <w:rFonts w:hint="eastAsia" w:ascii="宋体" w:hAnsi="宋体" w:eastAsia="宋体" w:cs="宋体"/>
          <w:b/>
          <w:bCs/>
          <w:color w:val="auto"/>
          <w:sz w:val="24"/>
          <w:szCs w:val="24"/>
          <w:highlight w:val="none"/>
        </w:rPr>
        <w:t>十一、联系方式</w:t>
      </w:r>
      <w:bookmarkEnd w:id="6"/>
    </w:p>
    <w:p w14:paraId="05EFBD6D">
      <w:pPr>
        <w:spacing w:line="240" w:lineRule="auto"/>
        <w:ind w:firstLine="482" w:firstLineChars="200"/>
        <w:rPr>
          <w:rFonts w:hint="eastAsia" w:ascii="宋体" w:hAnsi="宋体" w:eastAsia="宋体" w:cs="宋体"/>
          <w:b/>
          <w:bCs/>
          <w:color w:val="auto"/>
          <w:sz w:val="24"/>
          <w:szCs w:val="24"/>
          <w:highlight w:val="none"/>
          <w:lang w:eastAsia="zh-CN"/>
        </w:rPr>
      </w:pPr>
      <w:bookmarkStart w:id="7" w:name="_Toc1539"/>
      <w:r>
        <w:rPr>
          <w:rFonts w:hint="eastAsia" w:ascii="宋体" w:hAnsi="宋体" w:eastAsia="宋体" w:cs="宋体"/>
          <w:b/>
          <w:bCs/>
          <w:color w:val="auto"/>
          <w:sz w:val="24"/>
          <w:szCs w:val="24"/>
          <w:highlight w:val="none"/>
        </w:rPr>
        <w:t>招标人：</w:t>
      </w:r>
      <w:bookmarkEnd w:id="7"/>
      <w:r>
        <w:rPr>
          <w:rFonts w:hint="eastAsia"/>
          <w:b/>
          <w:sz w:val="24"/>
          <w:highlight w:val="none"/>
          <w:lang w:eastAsia="zh-CN"/>
        </w:rPr>
        <w:t>成都市技师学院</w:t>
      </w:r>
    </w:p>
    <w:p w14:paraId="498506E2">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sz w:val="24"/>
          <w:highlight w:val="none"/>
          <w:lang w:eastAsia="zh-CN"/>
        </w:rPr>
        <w:t>成都市郫都区红光街道港通北三路1899号</w:t>
      </w:r>
    </w:p>
    <w:p w14:paraId="1C4759E1">
      <w:pPr>
        <w:spacing w:line="24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 系 人：</w:t>
      </w:r>
      <w:r>
        <w:rPr>
          <w:rFonts w:hint="eastAsia" w:ascii="宋体" w:hAnsi="宋体" w:cs="微软雅黑"/>
          <w:sz w:val="24"/>
          <w:highlight w:val="none"/>
          <w:lang w:eastAsia="zh-CN"/>
        </w:rPr>
        <w:t>王老师</w:t>
      </w:r>
    </w:p>
    <w:p w14:paraId="611B0170">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cs="微软雅黑"/>
          <w:sz w:val="24"/>
          <w:highlight w:val="none"/>
          <w:lang w:eastAsia="zh-CN"/>
        </w:rPr>
        <w:t>028-64907283</w:t>
      </w:r>
    </w:p>
    <w:p w14:paraId="36D68061">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采购代理机构：四川铭信工程招标咨询有限公司 </w:t>
      </w:r>
    </w:p>
    <w:p w14:paraId="0721DB86">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    址：成都市高新区高朋大道21号</w:t>
      </w:r>
    </w:p>
    <w:p w14:paraId="4174AB03">
      <w:pPr>
        <w:spacing w:line="24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 系 人：</w:t>
      </w:r>
      <w:r>
        <w:rPr>
          <w:rFonts w:hint="eastAsia" w:ascii="宋体" w:hAnsi="宋体" w:eastAsia="宋体" w:cs="宋体"/>
          <w:b w:val="0"/>
          <w:bCs w:val="0"/>
          <w:color w:val="auto"/>
          <w:sz w:val="24"/>
          <w:szCs w:val="24"/>
          <w:highlight w:val="none"/>
          <w:lang w:val="en-US" w:eastAsia="zh-CN"/>
        </w:rPr>
        <w:t>卢老师</w:t>
      </w:r>
    </w:p>
    <w:p w14:paraId="7E25B2C0">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联系电话：</w:t>
      </w:r>
      <w:r>
        <w:rPr>
          <w:rFonts w:hint="eastAsia" w:ascii="宋体" w:hAnsi="宋体" w:cs="微软雅黑"/>
          <w:sz w:val="24"/>
          <w:highlight w:val="none"/>
          <w:lang w:eastAsia="zh-CN"/>
        </w:rPr>
        <w:t>13558776674</w:t>
      </w:r>
    </w:p>
    <w:p w14:paraId="513D7F88">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电子邮件：scmxgczx@163.com</w:t>
      </w:r>
    </w:p>
    <w:p w14:paraId="78821032">
      <w:pPr>
        <w:spacing w:line="240" w:lineRule="auto"/>
        <w:rPr>
          <w:color w:val="auto"/>
          <w:highlight w:val="none"/>
        </w:rPr>
      </w:pPr>
    </w:p>
    <w:p w14:paraId="1C1568CD">
      <w:pPr>
        <w:pStyle w:val="2"/>
        <w:spacing w:line="240" w:lineRule="auto"/>
        <w:rPr>
          <w:color w:val="auto"/>
          <w:highlight w:val="none"/>
        </w:rPr>
        <w:sectPr>
          <w:footerReference r:id="rId3" w:type="default"/>
          <w:pgSz w:w="11905" w:h="16838"/>
          <w:pgMar w:top="1417" w:right="1417" w:bottom="1417" w:left="1417" w:header="0" w:footer="1134" w:gutter="0"/>
          <w:pgNumType w:start="1"/>
          <w:cols w:space="425" w:num="1"/>
        </w:sectPr>
      </w:pPr>
    </w:p>
    <w:p w14:paraId="70D6E1CB">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8" w:name="_Toc25715"/>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第二章  投标人须知</w:t>
      </w:r>
      <w:bookmarkEnd w:id="8"/>
    </w:p>
    <w:p w14:paraId="44FC1FB7">
      <w:pPr>
        <w:spacing w:line="240" w:lineRule="auto"/>
        <w:rPr>
          <w:color w:val="auto"/>
          <w:highlight w:val="none"/>
        </w:rPr>
      </w:pPr>
    </w:p>
    <w:p w14:paraId="77145E56">
      <w:pPr>
        <w:spacing w:line="240" w:lineRule="auto"/>
        <w:ind w:firstLine="622" w:firstLineChars="200"/>
        <w:jc w:val="center"/>
        <w:outlineLvl w:val="1"/>
        <w:rPr>
          <w:rFonts w:ascii="宋体" w:hAnsi="宋体" w:eastAsia="宋体" w:cs="宋体"/>
          <w:b/>
          <w:bCs/>
          <w:color w:val="auto"/>
          <w:sz w:val="31"/>
          <w:szCs w:val="31"/>
          <w:highlight w:val="none"/>
        </w:rPr>
      </w:pPr>
      <w:bookmarkStart w:id="9" w:name="_Toc16271"/>
      <w:bookmarkStart w:id="10" w:name="_Toc8096"/>
      <w:r>
        <w:rPr>
          <w:rFonts w:hint="eastAsia" w:ascii="宋体" w:hAnsi="宋体" w:eastAsia="宋体" w:cs="宋体"/>
          <w:b/>
          <w:bCs/>
          <w:color w:val="auto"/>
          <w:sz w:val="31"/>
          <w:szCs w:val="31"/>
          <w:highlight w:val="none"/>
        </w:rPr>
        <w:t>一、投标人须知附表</w:t>
      </w:r>
      <w:bookmarkEnd w:id="9"/>
      <w:bookmarkEnd w:id="10"/>
    </w:p>
    <w:tbl>
      <w:tblPr>
        <w:tblStyle w:val="23"/>
        <w:tblW w:w="969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750"/>
        <w:gridCol w:w="7087"/>
      </w:tblGrid>
      <w:tr w14:paraId="145A5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56" w:type="dxa"/>
            <w:tcBorders>
              <w:tl2br w:val="nil"/>
              <w:tr2bl w:val="nil"/>
            </w:tcBorders>
            <w:vAlign w:val="center"/>
          </w:tcPr>
          <w:p w14:paraId="27346DDB">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750" w:type="dxa"/>
            <w:tcBorders>
              <w:tl2br w:val="nil"/>
              <w:tr2bl w:val="nil"/>
            </w:tcBorders>
            <w:vAlign w:val="center"/>
          </w:tcPr>
          <w:p w14:paraId="25345434">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条款名称</w:t>
            </w:r>
          </w:p>
        </w:tc>
        <w:tc>
          <w:tcPr>
            <w:tcW w:w="7087" w:type="dxa"/>
            <w:tcBorders>
              <w:tl2br w:val="nil"/>
              <w:tr2bl w:val="nil"/>
            </w:tcBorders>
            <w:vAlign w:val="center"/>
          </w:tcPr>
          <w:p w14:paraId="2A5CC5D9">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说明和要求</w:t>
            </w:r>
          </w:p>
        </w:tc>
      </w:tr>
      <w:tr w14:paraId="3D98B8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856" w:type="dxa"/>
            <w:tcBorders>
              <w:tl2br w:val="nil"/>
              <w:tr2bl w:val="nil"/>
            </w:tcBorders>
            <w:vAlign w:val="center"/>
          </w:tcPr>
          <w:p w14:paraId="733DEAFA">
            <w:pPr>
              <w:spacing w:line="240" w:lineRule="auto"/>
              <w:jc w:val="center"/>
              <w:rPr>
                <w:color w:val="auto"/>
                <w:sz w:val="24"/>
                <w:szCs w:val="24"/>
                <w:highlight w:val="none"/>
              </w:rPr>
            </w:pPr>
          </w:p>
          <w:p w14:paraId="10386635">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750" w:type="dxa"/>
            <w:tcBorders>
              <w:tl2br w:val="nil"/>
              <w:tr2bl w:val="nil"/>
            </w:tcBorders>
            <w:vAlign w:val="center"/>
          </w:tcPr>
          <w:p w14:paraId="1BC6E900">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采购预算</w:t>
            </w:r>
          </w:p>
          <w:p w14:paraId="3E035130">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23880F91">
            <w:pPr>
              <w:tabs>
                <w:tab w:val="left" w:pos="130"/>
              </w:tabs>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采购预算：</w:t>
            </w:r>
            <w:r>
              <w:rPr>
                <w:rFonts w:hint="eastAsia" w:ascii="宋体" w:hAnsi="宋体" w:eastAsia="宋体" w:cs="宋体"/>
                <w:b/>
                <w:bCs/>
                <w:color w:val="auto"/>
                <w:sz w:val="24"/>
                <w:szCs w:val="24"/>
                <w:highlight w:val="none"/>
                <w:lang w:val="en-US" w:eastAsia="zh-CN"/>
              </w:rPr>
              <w:t>不涉及</w:t>
            </w:r>
            <w:r>
              <w:rPr>
                <w:rFonts w:hint="eastAsia" w:ascii="宋体" w:hAnsi="宋体" w:eastAsia="宋体" w:cs="宋体"/>
                <w:b/>
                <w:bCs/>
                <w:color w:val="auto"/>
                <w:sz w:val="24"/>
                <w:szCs w:val="24"/>
                <w:highlight w:val="none"/>
              </w:rPr>
              <w:t>。</w:t>
            </w:r>
          </w:p>
        </w:tc>
      </w:tr>
      <w:tr w14:paraId="773EF7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56" w:type="dxa"/>
            <w:tcBorders>
              <w:tl2br w:val="nil"/>
              <w:tr2bl w:val="nil"/>
            </w:tcBorders>
            <w:vAlign w:val="center"/>
          </w:tcPr>
          <w:p w14:paraId="5FD846B2">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750" w:type="dxa"/>
            <w:tcBorders>
              <w:tl2br w:val="nil"/>
              <w:tr2bl w:val="nil"/>
            </w:tcBorders>
            <w:vAlign w:val="center"/>
          </w:tcPr>
          <w:p w14:paraId="7946439C">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p w14:paraId="66BB38FC">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6D037F00">
            <w:pPr>
              <w:spacing w:line="240" w:lineRule="auto"/>
              <w:jc w:val="both"/>
              <w:rPr>
                <w:rFonts w:hint="eastAsia" w:ascii="宋体" w:hAnsi="宋体" w:eastAsia="宋体" w:cs="宋体"/>
                <w:b/>
                <w:bCs/>
                <w:color w:val="auto"/>
                <w:sz w:val="24"/>
                <w:szCs w:val="24"/>
                <w:highlight w:val="none"/>
              </w:rPr>
            </w:pPr>
            <w:r>
              <w:rPr>
                <w:rFonts w:ascii="宋体" w:hAnsi="宋体" w:eastAsia="宋体" w:cs="宋体"/>
                <w:color w:val="auto"/>
                <w:sz w:val="24"/>
                <w:szCs w:val="24"/>
                <w:highlight w:val="none"/>
              </w:rPr>
              <w:t>最高限价：</w:t>
            </w:r>
            <w:r>
              <w:rPr>
                <w:rFonts w:hint="eastAsia" w:ascii="宋体" w:hAnsi="宋体" w:eastAsia="宋体" w:cs="宋体"/>
                <w:b/>
                <w:bCs/>
                <w:color w:val="auto"/>
                <w:sz w:val="24"/>
                <w:szCs w:val="24"/>
                <w:highlight w:val="none"/>
                <w:lang w:val="en-US" w:eastAsia="zh-CN"/>
              </w:rPr>
              <w:t>本项目不涉及</w:t>
            </w:r>
            <w:r>
              <w:rPr>
                <w:rFonts w:hint="eastAsia" w:ascii="宋体" w:hAnsi="宋体" w:eastAsia="宋体" w:cs="宋体"/>
                <w:b/>
                <w:bCs/>
                <w:color w:val="auto"/>
                <w:sz w:val="24"/>
                <w:szCs w:val="24"/>
                <w:highlight w:val="none"/>
              </w:rPr>
              <w:t>。</w:t>
            </w:r>
          </w:p>
          <w:p w14:paraId="6BE62C26">
            <w:pPr>
              <w:spacing w:line="240" w:lineRule="auto"/>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val="en-US" w:eastAsia="zh-CN"/>
              </w:rPr>
              <w:t>任意一项</w:t>
            </w:r>
            <w:r>
              <w:rPr>
                <w:rFonts w:ascii="宋体" w:hAnsi="宋体" w:eastAsia="宋体" w:cs="宋体"/>
                <w:color w:val="auto"/>
                <w:sz w:val="24"/>
                <w:szCs w:val="24"/>
                <w:highlight w:val="none"/>
              </w:rPr>
              <w:t>最高限价的报价为无效投标。</w:t>
            </w:r>
          </w:p>
        </w:tc>
      </w:tr>
      <w:tr w14:paraId="260212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3B31D1A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0" w:type="dxa"/>
            <w:tcBorders>
              <w:tl2br w:val="nil"/>
              <w:tr2bl w:val="nil"/>
            </w:tcBorders>
            <w:vAlign w:val="center"/>
          </w:tcPr>
          <w:p w14:paraId="52318335">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采购方式</w:t>
            </w:r>
          </w:p>
        </w:tc>
        <w:tc>
          <w:tcPr>
            <w:tcW w:w="7087" w:type="dxa"/>
            <w:tcBorders>
              <w:tl2br w:val="nil"/>
              <w:tr2bl w:val="nil"/>
            </w:tcBorders>
            <w:vAlign w:val="center"/>
          </w:tcPr>
          <w:p w14:paraId="27CF8766">
            <w:pPr>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15621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7A61373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0" w:type="dxa"/>
            <w:tcBorders>
              <w:tl2br w:val="nil"/>
              <w:tr2bl w:val="nil"/>
            </w:tcBorders>
            <w:vAlign w:val="center"/>
          </w:tcPr>
          <w:p w14:paraId="701BC68E">
            <w:pPr>
              <w:pStyle w:val="24"/>
              <w:spacing w:line="240" w:lineRule="auto"/>
              <w:jc w:val="center"/>
              <w:rPr>
                <w:snapToGrid w:val="0"/>
                <w:color w:val="auto"/>
                <w:sz w:val="24"/>
                <w:szCs w:val="24"/>
                <w:highlight w:val="none"/>
              </w:rPr>
            </w:pPr>
            <w:r>
              <w:rPr>
                <w:rFonts w:hint="eastAsia"/>
                <w:snapToGrid w:val="0"/>
                <w:color w:val="auto"/>
                <w:sz w:val="24"/>
                <w:szCs w:val="24"/>
                <w:highlight w:val="none"/>
                <w:lang w:val="zh-CN"/>
              </w:rPr>
              <w:t>评标方法</w:t>
            </w:r>
          </w:p>
        </w:tc>
        <w:tc>
          <w:tcPr>
            <w:tcW w:w="7087" w:type="dxa"/>
            <w:tcBorders>
              <w:tl2br w:val="nil"/>
              <w:tr2bl w:val="nil"/>
            </w:tcBorders>
            <w:vAlign w:val="center"/>
          </w:tcPr>
          <w:p w14:paraId="3C30A2CA">
            <w:pPr>
              <w:pStyle w:val="24"/>
              <w:spacing w:line="240" w:lineRule="auto"/>
              <w:rPr>
                <w:snapToGrid w:val="0"/>
                <w:color w:val="auto"/>
                <w:sz w:val="24"/>
                <w:szCs w:val="24"/>
                <w:highlight w:val="none"/>
              </w:rPr>
            </w:pPr>
            <w:r>
              <w:rPr>
                <w:rFonts w:hint="eastAsia"/>
                <w:snapToGrid w:val="0"/>
                <w:color w:val="auto"/>
                <w:sz w:val="24"/>
                <w:szCs w:val="24"/>
                <w:highlight w:val="none"/>
                <w:lang w:val="zh-CN"/>
              </w:rPr>
              <w:t>综合评分法(详见第</w:t>
            </w:r>
            <w:r>
              <w:rPr>
                <w:rFonts w:hint="eastAsia"/>
                <w:snapToGrid w:val="0"/>
                <w:color w:val="auto"/>
                <w:sz w:val="24"/>
                <w:szCs w:val="24"/>
                <w:highlight w:val="none"/>
              </w:rPr>
              <w:t>七</w:t>
            </w:r>
            <w:r>
              <w:rPr>
                <w:rFonts w:hint="eastAsia"/>
                <w:snapToGrid w:val="0"/>
                <w:color w:val="auto"/>
                <w:sz w:val="24"/>
                <w:szCs w:val="24"/>
                <w:highlight w:val="none"/>
                <w:lang w:val="zh-CN"/>
              </w:rPr>
              <w:t>章)</w:t>
            </w:r>
          </w:p>
        </w:tc>
      </w:tr>
      <w:tr w14:paraId="4D91DB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2420B1E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0" w:type="dxa"/>
            <w:tcBorders>
              <w:tl2br w:val="nil"/>
              <w:tr2bl w:val="nil"/>
            </w:tcBorders>
            <w:vAlign w:val="center"/>
          </w:tcPr>
          <w:p w14:paraId="443B1A73">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是否专门面向中小企业</w:t>
            </w:r>
          </w:p>
        </w:tc>
        <w:tc>
          <w:tcPr>
            <w:tcW w:w="7087" w:type="dxa"/>
            <w:tcBorders>
              <w:tl2br w:val="nil"/>
              <w:tr2bl w:val="nil"/>
            </w:tcBorders>
            <w:vAlign w:val="center"/>
          </w:tcPr>
          <w:p w14:paraId="2A36B206">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本项目专门面向中小企业：是□；否</w:t>
            </w:r>
            <w:r>
              <w:rPr>
                <w:rFonts w:hint="eastAsia" w:ascii="宋体" w:hAnsi="宋体" w:eastAsia="宋体" w:cs="宋体"/>
                <w:b/>
                <w:bCs/>
                <w:color w:val="auto"/>
                <w:sz w:val="24"/>
                <w:szCs w:val="24"/>
                <w:highlight w:val="none"/>
                <w:lang w:eastAsia="zh-CN"/>
              </w:rPr>
              <w:sym w:font="Wingdings" w:char="00FE"/>
            </w:r>
            <w:r>
              <w:rPr>
                <w:rFonts w:hint="eastAsia" w:ascii="宋体" w:hAnsi="宋体" w:eastAsia="宋体" w:cs="宋体"/>
                <w:b/>
                <w:bCs/>
                <w:color w:val="auto"/>
                <w:sz w:val="24"/>
                <w:szCs w:val="24"/>
                <w:highlight w:val="none"/>
              </w:rPr>
              <w:t>；</w:t>
            </w:r>
          </w:p>
        </w:tc>
      </w:tr>
      <w:tr w14:paraId="7AEE9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56" w:type="dxa"/>
            <w:tcBorders>
              <w:tl2br w:val="nil"/>
              <w:tr2bl w:val="nil"/>
            </w:tcBorders>
            <w:vAlign w:val="center"/>
          </w:tcPr>
          <w:p w14:paraId="0114CA0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0" w:type="dxa"/>
            <w:tcBorders>
              <w:tl2br w:val="nil"/>
              <w:tr2bl w:val="nil"/>
            </w:tcBorders>
          </w:tcPr>
          <w:p w14:paraId="6266D211">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p w14:paraId="332876E6">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18507DDD">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本项目不允许联合体投标。</w:t>
            </w:r>
          </w:p>
        </w:tc>
      </w:tr>
      <w:tr w14:paraId="59174E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56" w:type="dxa"/>
            <w:tcBorders>
              <w:tl2br w:val="nil"/>
              <w:tr2bl w:val="nil"/>
            </w:tcBorders>
            <w:vAlign w:val="center"/>
          </w:tcPr>
          <w:p w14:paraId="5D3EEF5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0" w:type="dxa"/>
            <w:tcBorders>
              <w:tl2br w:val="nil"/>
              <w:tr2bl w:val="nil"/>
            </w:tcBorders>
            <w:vAlign w:val="center"/>
          </w:tcPr>
          <w:p w14:paraId="16BFC1A4">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进口产品</w:t>
            </w:r>
          </w:p>
        </w:tc>
        <w:tc>
          <w:tcPr>
            <w:tcW w:w="7087" w:type="dxa"/>
            <w:tcBorders>
              <w:tl2br w:val="nil"/>
              <w:tr2bl w:val="nil"/>
            </w:tcBorders>
            <w:vAlign w:val="center"/>
          </w:tcPr>
          <w:p w14:paraId="18AEF7F7">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本项目不涉及进口产品。</w:t>
            </w:r>
          </w:p>
        </w:tc>
      </w:tr>
      <w:tr w14:paraId="55D231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56" w:type="dxa"/>
            <w:tcBorders>
              <w:tl2br w:val="nil"/>
              <w:tr2bl w:val="nil"/>
            </w:tcBorders>
            <w:vAlign w:val="center"/>
          </w:tcPr>
          <w:p w14:paraId="6B970A7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0" w:type="dxa"/>
            <w:tcBorders>
              <w:tl2br w:val="nil"/>
              <w:tr2bl w:val="nil"/>
            </w:tcBorders>
            <w:vAlign w:val="center"/>
          </w:tcPr>
          <w:p w14:paraId="2E0DEFE3">
            <w:pPr>
              <w:spacing w:line="240" w:lineRule="auto"/>
              <w:jc w:val="center"/>
              <w:rPr>
                <w:color w:val="auto"/>
                <w:sz w:val="24"/>
                <w:szCs w:val="24"/>
                <w:highlight w:val="none"/>
              </w:rPr>
            </w:pPr>
          </w:p>
          <w:p w14:paraId="4E2B9C19">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低于成本价不正当竞争预防措施</w:t>
            </w:r>
          </w:p>
          <w:p w14:paraId="6000F6B2">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28BE5BCD">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本项目不涉及。</w:t>
            </w:r>
          </w:p>
        </w:tc>
      </w:tr>
      <w:tr w14:paraId="4C767C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856" w:type="dxa"/>
            <w:tcBorders>
              <w:tl2br w:val="nil"/>
              <w:tr2bl w:val="nil"/>
            </w:tcBorders>
            <w:vAlign w:val="center"/>
          </w:tcPr>
          <w:p w14:paraId="0D40EE86">
            <w:pPr>
              <w:spacing w:before="75"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0" w:type="dxa"/>
            <w:tcBorders>
              <w:tl2br w:val="nil"/>
              <w:tr2bl w:val="nil"/>
            </w:tcBorders>
            <w:vAlign w:val="center"/>
          </w:tcPr>
          <w:p w14:paraId="31FE985B">
            <w:pPr>
              <w:spacing w:before="75"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促进中小企业发展</w:t>
            </w:r>
          </w:p>
        </w:tc>
        <w:tc>
          <w:tcPr>
            <w:tcW w:w="7087" w:type="dxa"/>
            <w:tcBorders>
              <w:tl2br w:val="nil"/>
              <w:tr2bl w:val="nil"/>
            </w:tcBorders>
            <w:vAlign w:val="center"/>
          </w:tcPr>
          <w:p w14:paraId="4C27B56C">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本项目不涉及。</w:t>
            </w:r>
          </w:p>
        </w:tc>
      </w:tr>
      <w:tr w14:paraId="757A4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56" w:type="dxa"/>
            <w:tcBorders>
              <w:tl2br w:val="nil"/>
              <w:tr2bl w:val="nil"/>
            </w:tcBorders>
            <w:vAlign w:val="center"/>
          </w:tcPr>
          <w:p w14:paraId="7A50A03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0" w:type="dxa"/>
            <w:tcBorders>
              <w:tl2br w:val="nil"/>
              <w:tr2bl w:val="nil"/>
            </w:tcBorders>
            <w:vAlign w:val="center"/>
          </w:tcPr>
          <w:p w14:paraId="105D85B9">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本项目标的名称及所属行业</w:t>
            </w:r>
          </w:p>
        </w:tc>
        <w:tc>
          <w:tcPr>
            <w:tcW w:w="7087" w:type="dxa"/>
            <w:tcBorders>
              <w:tl2br w:val="nil"/>
              <w:tr2bl w:val="nil"/>
            </w:tcBorders>
            <w:vAlign w:val="center"/>
          </w:tcPr>
          <w:p w14:paraId="700376EF">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1.标的名称：成都市技师学院2025年秋季至2028年春季新都校区食堂经营服务采购项目 </w:t>
            </w:r>
          </w:p>
          <w:p w14:paraId="005F7BAC">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2.所属行业：</w:t>
            </w:r>
            <w:r>
              <w:rPr>
                <w:rFonts w:hint="eastAsia" w:ascii="宋体" w:hAnsi="宋体" w:eastAsia="宋体" w:cs="宋体"/>
                <w:b/>
                <w:bCs/>
                <w:color w:val="auto"/>
                <w:sz w:val="24"/>
                <w:szCs w:val="24"/>
                <w:highlight w:val="none"/>
                <w:lang w:eastAsia="zh-CN"/>
              </w:rPr>
              <w:t>餐饮业</w:t>
            </w:r>
          </w:p>
        </w:tc>
      </w:tr>
      <w:tr w14:paraId="2B1BBB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856" w:type="dxa"/>
            <w:tcBorders>
              <w:tl2br w:val="nil"/>
              <w:tr2bl w:val="nil"/>
            </w:tcBorders>
            <w:vAlign w:val="center"/>
          </w:tcPr>
          <w:p w14:paraId="4C8BAB85">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0" w:type="dxa"/>
            <w:tcBorders>
              <w:tl2br w:val="nil"/>
              <w:tr2bl w:val="nil"/>
            </w:tcBorders>
            <w:vAlign w:val="center"/>
          </w:tcPr>
          <w:p w14:paraId="02DD185C">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w:t>
            </w:r>
          </w:p>
        </w:tc>
        <w:tc>
          <w:tcPr>
            <w:tcW w:w="7087" w:type="dxa"/>
            <w:tcBorders>
              <w:tl2br w:val="nil"/>
              <w:tr2bl w:val="nil"/>
            </w:tcBorders>
            <w:vAlign w:val="center"/>
          </w:tcPr>
          <w:p w14:paraId="74E5AA4D">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本项目不收取投标保证金。</w:t>
            </w:r>
          </w:p>
        </w:tc>
      </w:tr>
      <w:tr w14:paraId="0B81C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56" w:type="dxa"/>
            <w:tcBorders>
              <w:tl2br w:val="nil"/>
              <w:tr2bl w:val="nil"/>
            </w:tcBorders>
            <w:vAlign w:val="center"/>
          </w:tcPr>
          <w:p w14:paraId="0DF48A3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0" w:type="dxa"/>
            <w:tcBorders>
              <w:tl2br w:val="nil"/>
              <w:tr2bl w:val="nil"/>
            </w:tcBorders>
            <w:vAlign w:val="center"/>
          </w:tcPr>
          <w:p w14:paraId="4D66B59C">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7087" w:type="dxa"/>
            <w:tcBorders>
              <w:tl2br w:val="nil"/>
              <w:tr2bl w:val="nil"/>
            </w:tcBorders>
            <w:vAlign w:val="center"/>
          </w:tcPr>
          <w:p w14:paraId="336A630C">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履约保证金缴纳金额及方式</w:t>
            </w:r>
          </w:p>
          <w:p w14:paraId="398092E9">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履约保证金为人民币10万元(大写:壹拾万元整)，投标人应在中标通知书发出之日起至合同签订前，以银行转账非现金形式向招标人提交履约保证金。</w:t>
            </w:r>
          </w:p>
          <w:p w14:paraId="54A87C5E">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履约保证金汇入的银行及账号</w:t>
            </w:r>
          </w:p>
          <w:p w14:paraId="2D4730AB">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收款账号:成都市技师学院</w:t>
            </w:r>
          </w:p>
          <w:p w14:paraId="13C762F9">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开户行:工行四川成都分行郫都红光支行</w:t>
            </w:r>
          </w:p>
          <w:p w14:paraId="057786B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银行账号:4402054609100031151</w:t>
            </w:r>
          </w:p>
          <w:p w14:paraId="4E3B3DBB">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履约保证金扣除情形</w:t>
            </w:r>
          </w:p>
          <w:p w14:paraId="281E6582">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投标人缴纳了履约保证金，但因自身原因被取消成交资格或在中标通知书发出之日起30个日历天(含法定节假日)内投标人不按招标文件确定的事项与采购人签订合同的，其履约保证金不予退还。</w:t>
            </w:r>
          </w:p>
          <w:p w14:paraId="652CD06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期内，投标人在原材料采购和食堂经营管理中有违反相关规定和制度的行为，若第一次出现，投标人应在采购人限定的期限内完成整改；整改不到位或者再次发现的，视不同情形扣除相应履约保证金500-5000元/次，若扣除的费用不足以弥补因上述行为给采购人造成的损失的，采购人有权按损失金额扣除履约保证金。</w:t>
            </w:r>
          </w:p>
          <w:p w14:paraId="58565FCF">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合同履行期内，投标人拖欠采购人水电气费的，采购人有权在履约保证金里扣除。 </w:t>
            </w:r>
          </w:p>
          <w:p w14:paraId="4338CB30">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论合同因何原因终止或解除，投标人须在合同终止或解除后10个日历天内撤离，并结清与采购人的债权债务以及一切移交手续。如不按时移交，采购人将从投标人缴纳的履约保证金中按照1000元/日扣除，逾期超过10日仍未撤离学校并结清手续的，投标人所投入的设备等归采购人所有，且采购人有权对投标人缴纳的履约保证金全额扣除。</w:t>
            </w:r>
          </w:p>
          <w:p w14:paraId="4497AAE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违反法律法规、未按招投标文件或合同约定执行的，履约保证金不予退还。</w:t>
            </w:r>
          </w:p>
          <w:p w14:paraId="719880E0">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若有履约保证金的扣除，投标人须在5个日历天之内将履约保证金的扣除部分补齐，并将交付凭证复印件报采购人。</w:t>
            </w:r>
          </w:p>
          <w:p w14:paraId="26658323">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履约保证金退还</w:t>
            </w:r>
          </w:p>
          <w:p w14:paraId="209755B1">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期满，投标人须在10个日历天内撤离，并结清与采购人的所有债权债务，以及完成合同所有条款规定的义务后，经采购人验收合格才能办理移交手续。移交手续办理完毕后，投标人提出书面申请，采购人在30个日历天内无息退还投标人应退部分履约保证金。投标人在经营期投入的物品未搬离的，视为投标人自愿放弃，均由采购人自行处置。</w:t>
            </w:r>
          </w:p>
        </w:tc>
      </w:tr>
      <w:tr w14:paraId="53C74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3D0BA4AC">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0" w:type="dxa"/>
            <w:tcBorders>
              <w:tl2br w:val="nil"/>
              <w:tr2bl w:val="nil"/>
            </w:tcBorders>
          </w:tcPr>
          <w:p w14:paraId="69DEAB31">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合同分包</w:t>
            </w:r>
          </w:p>
          <w:p w14:paraId="2ECEACC7">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45EE0AAB">
            <w:pPr>
              <w:spacing w:line="240" w:lineRule="auto"/>
              <w:jc w:val="both"/>
              <w:rPr>
                <w:rFonts w:hint="eastAsia" w:eastAsia="宋体"/>
                <w:color w:val="auto"/>
                <w:sz w:val="24"/>
                <w:szCs w:val="24"/>
                <w:highlight w:val="none"/>
                <w:lang w:val="en-US" w:eastAsia="zh-CN"/>
              </w:rPr>
            </w:pPr>
            <w:r>
              <w:rPr>
                <w:rFonts w:hint="eastAsia"/>
                <w:color w:val="auto"/>
                <w:sz w:val="24"/>
                <w:szCs w:val="24"/>
                <w:highlight w:val="none"/>
              </w:rPr>
              <w:t>本项目</w:t>
            </w:r>
            <w:r>
              <w:rPr>
                <w:rFonts w:hint="eastAsia" w:eastAsia="宋体"/>
                <w:color w:val="auto"/>
                <w:sz w:val="24"/>
                <w:szCs w:val="24"/>
                <w:highlight w:val="none"/>
                <w:lang w:val="en-US" w:eastAsia="zh-CN"/>
              </w:rPr>
              <w:t>不接受</w:t>
            </w:r>
            <w:r>
              <w:rPr>
                <w:rFonts w:hint="eastAsia"/>
                <w:color w:val="auto"/>
                <w:sz w:val="24"/>
                <w:szCs w:val="24"/>
                <w:highlight w:val="none"/>
              </w:rPr>
              <w:t>合</w:t>
            </w:r>
            <w:r>
              <w:rPr>
                <w:rFonts w:hint="eastAsia"/>
                <w:color w:val="auto"/>
                <w:sz w:val="24"/>
                <w:szCs w:val="24"/>
                <w:highlight w:val="none"/>
              </w:rPr>
              <w:t>同分包。</w:t>
            </w:r>
          </w:p>
        </w:tc>
      </w:tr>
      <w:tr w14:paraId="3A8019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0A5B93D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0" w:type="dxa"/>
            <w:tcBorders>
              <w:tl2br w:val="nil"/>
              <w:tr2bl w:val="nil"/>
            </w:tcBorders>
            <w:vAlign w:val="center"/>
          </w:tcPr>
          <w:p w14:paraId="09AE0A65">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询问</w:t>
            </w:r>
          </w:p>
        </w:tc>
        <w:tc>
          <w:tcPr>
            <w:tcW w:w="7087" w:type="dxa"/>
            <w:tcBorders>
              <w:tl2br w:val="nil"/>
              <w:tr2bl w:val="nil"/>
            </w:tcBorders>
            <w:vAlign w:val="center"/>
          </w:tcPr>
          <w:p w14:paraId="6DECCD7F">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根据委托代理协议约定，投标人询问由四川铭信工程招标咨询有限公司负责答复</w:t>
            </w:r>
            <w:r>
              <w:rPr>
                <w:rFonts w:hint="eastAsia" w:ascii="宋体" w:hAnsi="宋体" w:eastAsia="宋体" w:cs="宋体"/>
                <w:color w:val="auto"/>
                <w:sz w:val="24"/>
                <w:szCs w:val="24"/>
                <w:highlight w:val="none"/>
                <w:lang w:val="zh-CN"/>
              </w:rPr>
              <w:t>。</w:t>
            </w:r>
          </w:p>
          <w:p w14:paraId="64F43B67">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卢老师</w:t>
            </w:r>
            <w:r>
              <w:rPr>
                <w:rFonts w:hint="eastAsia" w:ascii="宋体" w:hAnsi="宋体" w:eastAsia="宋体" w:cs="宋体"/>
                <w:color w:val="auto"/>
                <w:sz w:val="24"/>
                <w:szCs w:val="24"/>
                <w:highlight w:val="none"/>
                <w:lang w:val="zh-CN"/>
              </w:rPr>
              <w:t xml:space="preserve"> </w:t>
            </w:r>
          </w:p>
          <w:p w14:paraId="7DDF71C8">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13558776674</w:t>
            </w:r>
          </w:p>
        </w:tc>
      </w:tr>
      <w:tr w14:paraId="6088F2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0E6DBF30">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0" w:type="dxa"/>
            <w:tcBorders>
              <w:tl2br w:val="nil"/>
              <w:tr2bl w:val="nil"/>
            </w:tcBorders>
            <w:vAlign w:val="center"/>
          </w:tcPr>
          <w:p w14:paraId="4A6EDE50">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质疑</w:t>
            </w:r>
          </w:p>
        </w:tc>
        <w:tc>
          <w:tcPr>
            <w:tcW w:w="7087" w:type="dxa"/>
            <w:tcBorders>
              <w:tl2br w:val="nil"/>
              <w:tr2bl w:val="nil"/>
            </w:tcBorders>
            <w:vAlign w:val="center"/>
          </w:tcPr>
          <w:p w14:paraId="2CED57D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于招标文件的技术、商务部分的质疑由成都市技师学院负责解释，四川铭信工程招标咨询有限公司负责答复；对于文件其他部分及流程、招标结果由四川铭信工程招标咨询有限公司负责答复。投标人在法定质疑期内应一次性提出针对同一招标程序环节的质疑（针对同一招标程序环节一次以上的质疑不予受理）。</w:t>
            </w:r>
          </w:p>
          <w:p w14:paraId="70E112BB">
            <w:pPr>
              <w:spacing w:line="240" w:lineRule="auto"/>
              <w:rPr>
                <w:rFonts w:ascii="宋体" w:hAnsi="宋体" w:eastAsia="宋体" w:cs="宋体"/>
                <w:color w:val="auto"/>
                <w:sz w:val="24"/>
                <w:szCs w:val="24"/>
                <w:highlight w:val="none"/>
                <w:lang w:val="zh-CN"/>
              </w:rPr>
            </w:pPr>
            <w:r>
              <w:rPr>
                <w:rFonts w:hint="eastAsia" w:ascii="宋体"/>
                <w:color w:val="auto"/>
                <w:sz w:val="24"/>
                <w:szCs w:val="24"/>
                <w:highlight w:val="none"/>
                <w:lang w:val="zh-CN"/>
              </w:rPr>
              <w:t>接收方式：邮寄或现场递交，质疑函必须为书面形式并符合相关法律法规的要求。</w:t>
            </w:r>
          </w:p>
          <w:p w14:paraId="41BFD8A5">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卢老师</w:t>
            </w:r>
            <w:r>
              <w:rPr>
                <w:rFonts w:hint="eastAsia" w:ascii="宋体" w:hAnsi="宋体" w:eastAsia="宋体" w:cs="宋体"/>
                <w:color w:val="auto"/>
                <w:sz w:val="24"/>
                <w:szCs w:val="24"/>
                <w:highlight w:val="none"/>
                <w:lang w:val="zh-CN"/>
              </w:rPr>
              <w:t xml:space="preserve"> </w:t>
            </w:r>
          </w:p>
          <w:p w14:paraId="6C47FA1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13558776674</w:t>
            </w:r>
          </w:p>
          <w:p w14:paraId="21AD135C">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14:paraId="42E194E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1.对招标文件提出质疑时间：为</w:t>
            </w:r>
            <w:r>
              <w:rPr>
                <w:rFonts w:hint="eastAsia" w:ascii="宋体" w:hAnsi="宋体" w:eastAsia="宋体" w:cs="宋体"/>
                <w:color w:val="auto"/>
                <w:sz w:val="24"/>
                <w:szCs w:val="24"/>
                <w:highlight w:val="none"/>
                <w:lang w:val="en-US" w:eastAsia="zh-CN"/>
              </w:rPr>
              <w:t>收到</w:t>
            </w:r>
            <w:r>
              <w:rPr>
                <w:rFonts w:hint="eastAsia" w:ascii="宋体" w:hAnsi="宋体" w:eastAsia="宋体" w:cs="宋体"/>
                <w:color w:val="auto"/>
                <w:sz w:val="24"/>
                <w:szCs w:val="24"/>
                <w:highlight w:val="none"/>
                <w:lang w:val="zh-CN"/>
              </w:rPr>
              <w:t>招标文件之日起七个工作日内；</w:t>
            </w:r>
          </w:p>
          <w:p w14:paraId="0B86E00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2.对招标过程提出质疑时间：为各招标程序环节结束之日起七个工作日内；</w:t>
            </w:r>
          </w:p>
          <w:p w14:paraId="75E8CD26">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3.对招标结果提出质疑时间：为招标结果公告发布次日后七个工作日内；</w:t>
            </w:r>
          </w:p>
          <w:p w14:paraId="0F6A01CA">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《政府采购质疑和投诉办法》的规定，投标人质疑不得超出招标文件、招标过程、招标结果的范围；</w:t>
            </w:r>
          </w:p>
          <w:p w14:paraId="39E5E20B">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5.1-4每个阶段的质疑应在一次质疑函中全部提出</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lang w:val="zh-CN"/>
              </w:rPr>
              <w:t>事项。</w:t>
            </w:r>
          </w:p>
        </w:tc>
      </w:tr>
      <w:tr w14:paraId="0907F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856" w:type="dxa"/>
            <w:tcBorders>
              <w:tl2br w:val="nil"/>
              <w:tr2bl w:val="nil"/>
            </w:tcBorders>
            <w:vAlign w:val="center"/>
          </w:tcPr>
          <w:p w14:paraId="03D4A0F7">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50" w:type="dxa"/>
            <w:tcBorders>
              <w:tl2br w:val="nil"/>
              <w:tr2bl w:val="nil"/>
            </w:tcBorders>
            <w:vAlign w:val="center"/>
          </w:tcPr>
          <w:p w14:paraId="20A73CAC">
            <w:pPr>
              <w:spacing w:line="240" w:lineRule="auto"/>
              <w:jc w:val="center"/>
              <w:rPr>
                <w:rFonts w:hint="eastAsia" w:ascii="宋体" w:hAnsi="宋体" w:eastAsia="宋体" w:cs="宋体"/>
                <w:color w:val="auto"/>
                <w:kern w:val="2"/>
                <w:sz w:val="24"/>
                <w:szCs w:val="24"/>
                <w:highlight w:val="none"/>
                <w:lang w:eastAsia="zh-CN"/>
              </w:rPr>
            </w:pPr>
            <w:r>
              <w:rPr>
                <w:rFonts w:hint="eastAsia" w:hAnsi="宋体" w:eastAsia="宋体" w:cs="宋体"/>
                <w:sz w:val="24"/>
                <w:highlight w:val="none"/>
              </w:rPr>
              <w:t>投标文件份数</w:t>
            </w:r>
          </w:p>
        </w:tc>
        <w:tc>
          <w:tcPr>
            <w:tcW w:w="7087" w:type="dxa"/>
            <w:tcBorders>
              <w:tl2br w:val="nil"/>
              <w:tr2bl w:val="nil"/>
            </w:tcBorders>
            <w:vAlign w:val="center"/>
          </w:tcPr>
          <w:p w14:paraId="15024E25">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1.投标文件份数：资格性投标文件正本1份副本1份，其他响应性投标文件正本1份副本1份，电子文档1份（电子文档可采用U盘制作包括资格性投标文件和其他响应性投标文件）。（实质性要求）</w:t>
            </w:r>
          </w:p>
          <w:p w14:paraId="07E7BFE0">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文件副本可由其正本复制（复印）而成（包括证明文件）。纸质版文件与电子版文件不一致时，以纸质版文件为准。若正本和副本有不一致的内容，以正本书面投标文件为准。但副本和电子文档与正本内容不一致造成的评标差错由投标人自行承担。（实质性要求）</w:t>
            </w:r>
          </w:p>
          <w:p w14:paraId="2C32088D">
            <w:pPr>
              <w:spacing w:line="240" w:lineRule="auto"/>
              <w:rPr>
                <w:rFonts w:hint="eastAsia"/>
                <w:highlight w:val="none"/>
                <w:lang w:val="zh-CN"/>
              </w:rPr>
            </w:pPr>
            <w:r>
              <w:rPr>
                <w:rFonts w:hint="eastAsia" w:ascii="宋体" w:hAnsi="宋体" w:eastAsia="宋体" w:cs="宋体"/>
                <w:color w:val="auto"/>
                <w:sz w:val="24"/>
                <w:szCs w:val="24"/>
                <w:highlight w:val="none"/>
                <w:lang w:val="zh-CN"/>
              </w:rPr>
              <w:t>4.投标人应将资格性投标文件的正副本、其他响应性投标文件的正副本、电子文档分别密封包装。本项目无强制性分册要求。</w:t>
            </w:r>
          </w:p>
          <w:p w14:paraId="6AF1B2D6">
            <w:pPr>
              <w:spacing w:line="240" w:lineRule="auto"/>
              <w:rPr>
                <w:rFonts w:hint="eastAsia" w:ascii="宋体" w:hAnsi="宋体" w:eastAsia="宋体" w:cs="宋体"/>
                <w:color w:val="auto"/>
                <w:sz w:val="24"/>
                <w:szCs w:val="24"/>
                <w:highlight w:val="none"/>
                <w:lang w:val="zh-CN"/>
              </w:rPr>
            </w:pPr>
            <w:r>
              <w:rPr>
                <w:rFonts w:hint="eastAsia"/>
                <w:b/>
                <w:sz w:val="24"/>
                <w:szCs w:val="24"/>
                <w:highlight w:val="none"/>
              </w:rPr>
              <w:t>投标文件密封检查时，投标文件未密封的，投标将被否决。</w:t>
            </w:r>
          </w:p>
        </w:tc>
      </w:tr>
      <w:tr w14:paraId="00152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1D30D65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750" w:type="dxa"/>
            <w:tcBorders>
              <w:tl2br w:val="nil"/>
              <w:tr2bl w:val="nil"/>
            </w:tcBorders>
            <w:vAlign w:val="center"/>
          </w:tcPr>
          <w:p w14:paraId="6DF201A6">
            <w:pPr>
              <w:kinsoku/>
              <w:spacing w:line="240" w:lineRule="auto"/>
              <w:ind w:right="105" w:rightChars="50"/>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中标通知书领取</w:t>
            </w:r>
          </w:p>
        </w:tc>
        <w:tc>
          <w:tcPr>
            <w:tcW w:w="7087" w:type="dxa"/>
            <w:tcBorders>
              <w:tl2br w:val="nil"/>
              <w:tr2bl w:val="nil"/>
            </w:tcBorders>
            <w:vAlign w:val="center"/>
          </w:tcPr>
          <w:p w14:paraId="70CDC06F">
            <w:pPr>
              <w:pStyle w:val="24"/>
              <w:spacing w:line="240" w:lineRule="auto"/>
              <w:jc w:val="both"/>
              <w:rPr>
                <w:rFonts w:hint="eastAsia" w:ascii="宋体" w:hAnsi="宋体" w:eastAsia="宋体" w:cs="宋体"/>
                <w:highlight w:val="none"/>
                <w:lang w:val="zh-CN"/>
              </w:rPr>
            </w:pPr>
            <w:r>
              <w:rPr>
                <w:rFonts w:hint="eastAsia"/>
                <w:highlight w:val="none"/>
                <w:lang w:eastAsia="zh-Hans"/>
              </w:rPr>
              <w:t>成交结果公告</w:t>
            </w:r>
            <w:r>
              <w:rPr>
                <w:rFonts w:hint="eastAsia"/>
                <w:highlight w:val="none"/>
                <w:lang w:val="zh-CN"/>
              </w:rPr>
              <w:t>在</w:t>
            </w:r>
            <w:r>
              <w:rPr>
                <w:rFonts w:hint="eastAsia"/>
                <w:bCs/>
                <w:highlight w:val="none"/>
                <w:lang w:eastAsia="zh-CN"/>
              </w:rPr>
              <w:t>中国招标投标公共服务平台（http://www.cebpubservice.com/）</w:t>
            </w:r>
            <w:r>
              <w:rPr>
                <w:rFonts w:hint="eastAsia"/>
                <w:highlight w:val="none"/>
                <w:lang w:val="zh-CN"/>
              </w:rPr>
              <w:t>上发布</w:t>
            </w:r>
            <w:r>
              <w:rPr>
                <w:highlight w:val="none"/>
              </w:rPr>
              <w:t>，</w:t>
            </w:r>
            <w:r>
              <w:rPr>
                <w:rFonts w:hint="eastAsia"/>
                <w:highlight w:val="none"/>
                <w:lang w:eastAsia="zh-Hans"/>
              </w:rPr>
              <w:t>公告发布后</w:t>
            </w:r>
            <w:r>
              <w:rPr>
                <w:highlight w:val="none"/>
                <w:lang w:eastAsia="zh-Hans"/>
              </w:rPr>
              <w:t>，</w:t>
            </w:r>
            <w:r>
              <w:rPr>
                <w:rFonts w:hint="eastAsia"/>
                <w:highlight w:val="none"/>
                <w:lang w:val="zh-CN"/>
              </w:rPr>
              <w:t>请成交供应商</w:t>
            </w:r>
            <w:r>
              <w:rPr>
                <w:rFonts w:hint="eastAsia"/>
                <w:highlight w:val="none"/>
              </w:rPr>
              <w:t>与代</w:t>
            </w:r>
            <w:r>
              <w:rPr>
                <w:rFonts w:hint="eastAsia" w:ascii="宋体" w:hAnsi="宋体" w:eastAsia="宋体" w:cs="宋体"/>
                <w:highlight w:val="none"/>
              </w:rPr>
              <w:t>理机构联系，以邮寄方式</w:t>
            </w:r>
            <w:r>
              <w:rPr>
                <w:rFonts w:hint="eastAsia" w:ascii="宋体" w:hAnsi="宋体" w:eastAsia="宋体" w:cs="宋体"/>
                <w:highlight w:val="none"/>
                <w:lang w:val="zh-CN"/>
              </w:rPr>
              <w:t>领取成交通知书。</w:t>
            </w:r>
          </w:p>
          <w:p w14:paraId="41F82CE3">
            <w:pPr>
              <w:pStyle w:val="24"/>
              <w:spacing w:line="240" w:lineRule="auto"/>
              <w:jc w:val="both"/>
              <w:rPr>
                <w:rFonts w:ascii="宋体" w:hAnsi="宋体" w:eastAsia="宋体" w:cs="宋体"/>
                <w:b/>
                <w:bCs/>
                <w:color w:val="auto"/>
                <w:sz w:val="24"/>
                <w:szCs w:val="24"/>
                <w:highlight w:val="none"/>
              </w:rPr>
            </w:pPr>
            <w:r>
              <w:rPr>
                <w:rFonts w:hint="eastAsia" w:ascii="宋体" w:hAnsi="宋体" w:eastAsia="宋体" w:cs="宋体"/>
                <w:highlight w:val="none"/>
                <w:lang w:val="zh-CN"/>
              </w:rPr>
              <w:t>联系电话：</w:t>
            </w:r>
            <w:r>
              <w:rPr>
                <w:rFonts w:hint="eastAsia" w:ascii="宋体" w:hAnsi="宋体" w:eastAsia="宋体" w:cs="宋体"/>
                <w:highlight w:val="none"/>
                <w:lang w:val="en-US" w:eastAsia="zh-CN"/>
              </w:rPr>
              <w:t>13558776674</w:t>
            </w:r>
          </w:p>
        </w:tc>
      </w:tr>
      <w:tr w14:paraId="19BCC0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7C0A305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750" w:type="dxa"/>
            <w:tcBorders>
              <w:tl2br w:val="nil"/>
              <w:tr2bl w:val="nil"/>
            </w:tcBorders>
            <w:vAlign w:val="center"/>
          </w:tcPr>
          <w:p w14:paraId="75AA8885">
            <w:pPr>
              <w:kinsoku/>
              <w:spacing w:line="240" w:lineRule="auto"/>
              <w:ind w:right="105" w:right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7087" w:type="dxa"/>
            <w:tcBorders>
              <w:tl2br w:val="nil"/>
              <w:tr2bl w:val="nil"/>
            </w:tcBorders>
            <w:vAlign w:val="center"/>
          </w:tcPr>
          <w:p w14:paraId="6E063D36">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项目代理服务按照国家计委计价格[2002]1980号及发改办价格[2003]857号文规定的收费标准下浮25%收取，中标人在领取中标通知书前支付服务费给代理机构。</w:t>
            </w:r>
            <w:r>
              <w:rPr>
                <w:rFonts w:hint="eastAsia" w:ascii="宋体" w:hAnsi="宋体" w:eastAsia="宋体" w:cs="宋体"/>
                <w:color w:val="auto"/>
                <w:sz w:val="24"/>
                <w:szCs w:val="24"/>
                <w:highlight w:val="none"/>
                <w:lang w:val="en-US" w:eastAsia="zh-CN"/>
              </w:rPr>
              <w:t>本项目代理服务费为3000元。</w:t>
            </w:r>
          </w:p>
          <w:p w14:paraId="57B555DB">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账号名称：四川铭信工程招标咨询有限公司</w:t>
            </w:r>
          </w:p>
          <w:p w14:paraId="5DEEE639">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开户银行：四川银行股份有限公司成都天府广场支行</w:t>
            </w:r>
          </w:p>
          <w:p w14:paraId="140252AB">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ascii="宋体" w:hAnsi="宋体" w:eastAsia="宋体" w:cs="宋体"/>
                <w:color w:val="auto"/>
                <w:sz w:val="24"/>
                <w:szCs w:val="24"/>
                <w:highlight w:val="none"/>
                <w:lang w:val="zh-CN"/>
              </w:rPr>
            </w:pPr>
            <w:r>
              <w:rPr>
                <w:rFonts w:hint="eastAsia" w:ascii="宋体" w:hAnsi="宋体" w:eastAsia="宋体" w:cs="Times New Roman"/>
                <w:b w:val="0"/>
                <w:bCs w:val="0"/>
                <w:sz w:val="24"/>
                <w:szCs w:val="24"/>
                <w:highlight w:val="none"/>
                <w:lang w:val="en-US" w:eastAsia="zh-CN"/>
              </w:rPr>
              <w:t>账    号：78220100072502592</w:t>
            </w:r>
          </w:p>
        </w:tc>
      </w:tr>
      <w:tr w14:paraId="1D5694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16228EE5">
            <w:pPr>
              <w:spacing w:line="240" w:lineRule="auto"/>
              <w:jc w:val="center"/>
              <w:rPr>
                <w:rFonts w:hint="default" w:ascii="宋体" w:hAnsi="宋体" w:eastAsia="宋体" w:cs="宋体"/>
                <w:color w:val="auto"/>
                <w:sz w:val="24"/>
                <w:szCs w:val="24"/>
                <w:highlight w:val="none"/>
                <w:lang w:val="en-US" w:eastAsia="zh-CN"/>
              </w:rPr>
            </w:pPr>
            <w:bookmarkStart w:id="11" w:name="_Toc31339"/>
            <w:r>
              <w:rPr>
                <w:rFonts w:hint="eastAsia" w:ascii="宋体" w:hAnsi="宋体" w:eastAsia="宋体" w:cs="宋体"/>
                <w:color w:val="auto"/>
                <w:sz w:val="24"/>
                <w:szCs w:val="24"/>
                <w:highlight w:val="none"/>
                <w:lang w:val="en-US" w:eastAsia="zh-CN"/>
              </w:rPr>
              <w:t>19</w:t>
            </w:r>
          </w:p>
        </w:tc>
        <w:tc>
          <w:tcPr>
            <w:tcW w:w="1750" w:type="dxa"/>
            <w:tcBorders>
              <w:tl2br w:val="nil"/>
              <w:tr2bl w:val="nil"/>
            </w:tcBorders>
            <w:vAlign w:val="center"/>
          </w:tcPr>
          <w:p w14:paraId="688F021A">
            <w:pPr>
              <w:pStyle w:val="45"/>
              <w:spacing w:before="46" w:after="46" w:line="240" w:lineRule="auto"/>
              <w:jc w:val="center"/>
              <w:rPr>
                <w:rFonts w:hint="eastAsia" w:ascii="宋体" w:hAnsi="宋体" w:eastAsia="宋体" w:cs="宋体"/>
                <w:color w:val="auto"/>
                <w:sz w:val="24"/>
                <w:szCs w:val="24"/>
                <w:highlight w:val="none"/>
              </w:rPr>
            </w:pPr>
            <w:r>
              <w:rPr>
                <w:rFonts w:hint="eastAsia" w:hAnsi="宋体" w:eastAsia="宋体" w:cs="宋体"/>
                <w:bCs/>
                <w:sz w:val="24"/>
                <w:highlight w:val="none"/>
              </w:rPr>
              <w:t>签字、盖章要求</w:t>
            </w:r>
          </w:p>
        </w:tc>
        <w:tc>
          <w:tcPr>
            <w:tcW w:w="7087" w:type="dxa"/>
            <w:tcBorders>
              <w:tl2br w:val="nil"/>
              <w:tr2bl w:val="nil"/>
            </w:tcBorders>
            <w:vAlign w:val="center"/>
          </w:tcPr>
          <w:p w14:paraId="0A3FC0C5">
            <w:pPr>
              <w:pStyle w:val="45"/>
              <w:keepNext w:val="0"/>
              <w:keepLines w:val="0"/>
              <w:pageBreakBefore w:val="0"/>
              <w:widowControl w:val="0"/>
              <w:kinsoku/>
              <w:wordWrap/>
              <w:overflowPunct/>
              <w:topLinePunct w:val="0"/>
              <w:autoSpaceDE/>
              <w:autoSpaceDN/>
              <w:bidi w:val="0"/>
              <w:adjustRightInd/>
              <w:snapToGrid/>
              <w:spacing w:before="46" w:after="46" w:line="360" w:lineRule="auto"/>
              <w:ind w:firstLine="0" w:firstLineChars="0"/>
              <w:jc w:val="left"/>
              <w:textAlignment w:val="auto"/>
              <w:rPr>
                <w:rFonts w:hint="eastAsia" w:ascii="宋体" w:hAnsi="宋体" w:eastAsia="宋体" w:cs="宋体"/>
                <w:b/>
                <w:sz w:val="24"/>
                <w:highlight w:val="none"/>
                <w:lang w:val="zh-CN"/>
              </w:rPr>
            </w:pPr>
            <w:r>
              <w:rPr>
                <w:rFonts w:hint="eastAsia" w:hAnsi="宋体" w:eastAsia="宋体" w:cs="宋体"/>
                <w:b/>
                <w:sz w:val="24"/>
                <w:highlight w:val="none"/>
                <w:lang w:val="en-US" w:eastAsia="zh-CN"/>
              </w:rPr>
              <w:t>1.投标</w:t>
            </w:r>
            <w:r>
              <w:rPr>
                <w:rFonts w:hint="eastAsia" w:hAnsi="宋体" w:eastAsia="宋体" w:cs="宋体"/>
                <w:b/>
                <w:sz w:val="24"/>
                <w:highlight w:val="none"/>
                <w:lang w:val="zh-CN"/>
              </w:rPr>
              <w:t>文件应由</w:t>
            </w:r>
            <w:r>
              <w:rPr>
                <w:rFonts w:hint="eastAsia" w:hAnsi="宋体" w:eastAsia="宋体" w:cs="宋体"/>
                <w:b/>
                <w:sz w:val="24"/>
                <w:highlight w:val="none"/>
                <w:lang w:val="en-US" w:eastAsia="zh-CN"/>
              </w:rPr>
              <w:t>投标人</w:t>
            </w:r>
            <w:r>
              <w:rPr>
                <w:rFonts w:hint="eastAsia" w:hAnsi="宋体" w:eastAsia="宋体" w:cs="宋体"/>
                <w:b/>
                <w:sz w:val="24"/>
                <w:highlight w:val="none"/>
                <w:lang w:val="zh-CN"/>
              </w:rPr>
              <w:t>法定代表人/</w:t>
            </w:r>
            <w:r>
              <w:rPr>
                <w:rFonts w:hint="eastAsia" w:hAnsi="宋体" w:eastAsia="宋体" w:cs="宋体"/>
                <w:b/>
                <w:sz w:val="24"/>
                <w:highlight w:val="none"/>
                <w:lang w:val="en-US" w:eastAsia="zh-CN"/>
              </w:rPr>
              <w:t>单位</w:t>
            </w:r>
            <w:r>
              <w:rPr>
                <w:rFonts w:hint="eastAsia" w:hAnsi="宋体" w:eastAsia="宋体" w:cs="宋体"/>
                <w:b/>
                <w:sz w:val="24"/>
                <w:highlight w:val="none"/>
                <w:lang w:val="zh-CN"/>
              </w:rPr>
              <w:t>负责人/其授权代表在</w:t>
            </w:r>
            <w:r>
              <w:rPr>
                <w:rFonts w:hint="eastAsia" w:hAnsi="宋体" w:eastAsia="宋体" w:cs="宋体"/>
                <w:b/>
                <w:sz w:val="24"/>
                <w:highlight w:val="none"/>
                <w:lang w:val="en-US" w:eastAsia="zh-CN"/>
              </w:rPr>
              <w:t>投标</w:t>
            </w:r>
            <w:r>
              <w:rPr>
                <w:rFonts w:hint="eastAsia" w:hAnsi="宋体" w:eastAsia="宋体" w:cs="宋体"/>
                <w:b/>
                <w:sz w:val="24"/>
                <w:highlight w:val="none"/>
                <w:lang w:val="zh-CN"/>
              </w:rPr>
              <w:t>文件要求的地方签字（或加盖私人印章），不得使用印刷体代替。要求加盖公章的地方加盖单位公章，不得使用专用章（如经济合同章、投标专用章等）或下属单位印章代替。纸</w:t>
            </w:r>
            <w:r>
              <w:rPr>
                <w:rFonts w:hint="eastAsia" w:ascii="宋体" w:hAnsi="宋体" w:eastAsia="宋体" w:cs="宋体"/>
                <w:b/>
                <w:sz w:val="24"/>
                <w:highlight w:val="none"/>
                <w:lang w:val="zh-CN"/>
              </w:rPr>
              <w:t>质</w:t>
            </w:r>
            <w:r>
              <w:rPr>
                <w:rFonts w:hint="eastAsia" w:ascii="宋体" w:hAnsi="宋体" w:eastAsia="宋体" w:cs="宋体"/>
                <w:b/>
                <w:sz w:val="24"/>
                <w:highlight w:val="none"/>
                <w:lang w:val="en-US" w:eastAsia="zh-CN"/>
              </w:rPr>
              <w:t>投标</w:t>
            </w:r>
            <w:r>
              <w:rPr>
                <w:rFonts w:hint="eastAsia" w:ascii="宋体" w:hAnsi="宋体" w:eastAsia="宋体" w:cs="宋体"/>
                <w:b/>
                <w:sz w:val="24"/>
                <w:highlight w:val="none"/>
                <w:lang w:val="zh-CN"/>
              </w:rPr>
              <w:t>文件，电子章无效。</w:t>
            </w:r>
          </w:p>
          <w:p w14:paraId="60C2FDA5">
            <w:pPr>
              <w:pStyle w:val="45"/>
              <w:spacing w:before="46" w:after="46"/>
              <w:jc w:val="left"/>
              <w:rPr>
                <w:rFonts w:hint="eastAsia" w:ascii="宋体" w:hAnsi="宋体" w:eastAsia="宋体" w:cs="宋体"/>
                <w:color w:val="auto"/>
                <w:sz w:val="24"/>
                <w:szCs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val="zh-CN"/>
              </w:rPr>
              <w:t>投标人需提供的纸质原件和纸质投标文件因签字、盖章不符合招标文件要求导致</w:t>
            </w:r>
            <w:r>
              <w:rPr>
                <w:rFonts w:hint="eastAsia" w:ascii="宋体" w:hAnsi="宋体" w:eastAsia="宋体" w:cs="宋体"/>
                <w:b/>
                <w:sz w:val="24"/>
                <w:highlight w:val="none"/>
                <w:lang w:val="en-US" w:eastAsia="zh-CN"/>
              </w:rPr>
              <w:t>未</w:t>
            </w:r>
            <w:r>
              <w:rPr>
                <w:rFonts w:hint="eastAsia" w:ascii="宋体" w:hAnsi="宋体" w:eastAsia="宋体" w:cs="宋体"/>
                <w:b/>
                <w:sz w:val="24"/>
                <w:highlight w:val="none"/>
                <w:lang w:val="zh-CN"/>
              </w:rPr>
              <w:t>实质性响应</w:t>
            </w:r>
            <w:r>
              <w:rPr>
                <w:rFonts w:hint="eastAsia" w:ascii="宋体" w:hAnsi="宋体" w:eastAsia="宋体" w:cs="宋体"/>
                <w:b/>
                <w:sz w:val="24"/>
                <w:highlight w:val="none"/>
                <w:lang w:val="en-US" w:eastAsia="zh-CN"/>
              </w:rPr>
              <w:t>招标文件</w:t>
            </w:r>
            <w:r>
              <w:rPr>
                <w:rFonts w:hint="eastAsia" w:ascii="宋体" w:hAnsi="宋体" w:eastAsia="宋体" w:cs="宋体"/>
                <w:b/>
                <w:sz w:val="24"/>
                <w:highlight w:val="none"/>
                <w:lang w:val="zh-CN"/>
              </w:rPr>
              <w:t>的，其投标文件将作无效投标处理。</w:t>
            </w:r>
          </w:p>
        </w:tc>
      </w:tr>
      <w:tr w14:paraId="1CA81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6A6E148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750" w:type="dxa"/>
            <w:tcBorders>
              <w:tl2br w:val="nil"/>
              <w:tr2bl w:val="nil"/>
            </w:tcBorders>
            <w:vAlign w:val="center"/>
          </w:tcPr>
          <w:p w14:paraId="264A99A0">
            <w:pPr>
              <w:pStyle w:val="24"/>
              <w:spacing w:before="120" w:beforeLines="50" w:line="360" w:lineRule="auto"/>
              <w:jc w:val="center"/>
              <w:rPr>
                <w:rFonts w:hint="eastAsia" w:hAnsi="宋体" w:eastAsia="宋体" w:cs="宋体"/>
                <w:bCs/>
                <w:sz w:val="24"/>
                <w:highlight w:val="none"/>
              </w:rPr>
            </w:pPr>
            <w:r>
              <w:rPr>
                <w:rFonts w:hint="eastAsia"/>
                <w:kern w:val="2"/>
                <w:highlight w:val="none"/>
              </w:rPr>
              <w:t>现场踏勘</w:t>
            </w:r>
          </w:p>
        </w:tc>
        <w:tc>
          <w:tcPr>
            <w:tcW w:w="7087" w:type="dxa"/>
            <w:tcBorders>
              <w:tl2br w:val="nil"/>
              <w:tr2bl w:val="nil"/>
            </w:tcBorders>
            <w:vAlign w:val="center"/>
          </w:tcPr>
          <w:p w14:paraId="5C154490">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本项目组织现场踏勘，相关要求如下：</w:t>
            </w:r>
          </w:p>
          <w:p w14:paraId="691F9A61">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踏勘时间：</w:t>
            </w:r>
            <w:r>
              <w:rPr>
                <w:rFonts w:hint="eastAsia" w:ascii="宋体" w:hAnsi="宋体" w:eastAsia="宋体" w:cs="宋体"/>
                <w:b/>
                <w:bCs/>
                <w:color w:val="auto"/>
                <w:sz w:val="24"/>
                <w:szCs w:val="24"/>
                <w:highlight w:val="none"/>
                <w:lang w:val="en-US" w:eastAsia="zh-CN"/>
              </w:rPr>
              <w:t>报名结束的第二天</w:t>
            </w:r>
            <w:r>
              <w:rPr>
                <w:rFonts w:hint="eastAsia" w:ascii="宋体" w:hAnsi="宋体" w:eastAsia="宋体" w:cs="宋体"/>
                <w:b/>
                <w:bCs/>
                <w:color w:val="auto"/>
                <w:sz w:val="24"/>
                <w:szCs w:val="24"/>
                <w:highlight w:val="none"/>
                <w:u w:val="single"/>
                <w:lang w:val="en-US" w:eastAsia="zh-CN"/>
              </w:rPr>
              <w:t xml:space="preserve"> 2025年6月27日，下午3：00（北京时间）</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rPr>
              <w:t>由采购人统一组织现场勘探，其他时间不受理</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现场踏勘)</w:t>
            </w:r>
            <w:r>
              <w:rPr>
                <w:rFonts w:hint="eastAsia" w:ascii="宋体" w:hAnsi="宋体" w:eastAsia="宋体" w:cs="宋体"/>
                <w:b/>
                <w:bCs/>
                <w:color w:val="auto"/>
                <w:sz w:val="24"/>
                <w:szCs w:val="24"/>
                <w:highlight w:val="none"/>
                <w:lang w:eastAsia="zh-CN"/>
              </w:rPr>
              <w:t>。</w:t>
            </w:r>
          </w:p>
          <w:p w14:paraId="0A170E67">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eastAsia" w:ascii="宋体" w:hAnsi="宋体" w:eastAsia="宋体" w:cs="宋体"/>
                <w:b/>
                <w:bCs/>
                <w:i w:val="0"/>
                <w:iCs w:val="0"/>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查勘地址：</w:t>
            </w:r>
            <w:r>
              <w:rPr>
                <w:rFonts w:hint="eastAsia" w:ascii="宋体" w:hAnsi="宋体" w:eastAsia="宋体" w:cs="宋体"/>
                <w:b/>
                <w:bCs/>
                <w:i w:val="0"/>
                <w:iCs w:val="0"/>
                <w:color w:val="auto"/>
                <w:sz w:val="24"/>
                <w:szCs w:val="24"/>
                <w:highlight w:val="none"/>
                <w:u w:val="single"/>
                <w:lang w:val="en-US" w:eastAsia="zh-CN"/>
              </w:rPr>
              <w:t>成都市新都区新都镇西北村10社301号（成都市技师学院新都校区）。</w:t>
            </w:r>
          </w:p>
          <w:p w14:paraId="350E6A6B">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采购人联系人：</w:t>
            </w:r>
            <w:r>
              <w:rPr>
                <w:rFonts w:hint="eastAsia" w:ascii="宋体" w:hAnsi="宋体" w:eastAsia="宋体" w:cs="宋体"/>
                <w:b/>
                <w:bCs/>
                <w:color w:val="auto"/>
                <w:sz w:val="24"/>
                <w:szCs w:val="24"/>
                <w:highlight w:val="none"/>
                <w:u w:val="single"/>
                <w:lang w:val="en-US" w:eastAsia="zh-CN"/>
              </w:rPr>
              <w:t xml:space="preserve"> 高老师   </w:t>
            </w:r>
          </w:p>
          <w:p w14:paraId="77BC03F9">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联系电话：</w:t>
            </w:r>
            <w:r>
              <w:rPr>
                <w:rFonts w:hint="eastAsia" w:ascii="宋体" w:hAnsi="宋体" w:eastAsia="宋体" w:cs="宋体"/>
                <w:b/>
                <w:bCs/>
                <w:color w:val="auto"/>
                <w:sz w:val="24"/>
                <w:szCs w:val="24"/>
                <w:highlight w:val="none"/>
                <w:u w:val="single"/>
                <w:lang w:val="en-US" w:eastAsia="zh-CN"/>
              </w:rPr>
              <w:t>13084475728</w:t>
            </w:r>
          </w:p>
          <w:p w14:paraId="2D33CE29">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未参加现场踏勘的</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，视为已充分知晓现场情况和采购人项目需求，自行承担全部潜在风险。</w:t>
            </w:r>
          </w:p>
          <w:p w14:paraId="60E487A4">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考察现场所发生的一切费用由供应商自行承担。</w:t>
            </w:r>
          </w:p>
          <w:p w14:paraId="6E89F72B">
            <w:pPr>
              <w:pStyle w:val="49"/>
              <w:keepNext w:val="0"/>
              <w:keepLines w:val="0"/>
              <w:pageBreakBefore w:val="0"/>
              <w:widowControl w:val="0"/>
              <w:kinsoku/>
              <w:wordWrap w:val="0"/>
              <w:overflowPunct/>
              <w:topLinePunct/>
              <w:autoSpaceDE/>
              <w:autoSpaceDN/>
              <w:bidi w:val="0"/>
              <w:adjustRightInd w:val="0"/>
              <w:snapToGrid w:val="0"/>
              <w:spacing w:line="400" w:lineRule="exact"/>
              <w:ind w:right="10" w:rightChars="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特别说明：各潜在投标人参加本项目现场踏勘应遵守采购人相关制度规定，同时应注意其自身身份的保密，若因投标人自身原因，造成其投标信息泄漏的，由其承担相应责任。</w:t>
            </w:r>
          </w:p>
        </w:tc>
      </w:tr>
      <w:tr w14:paraId="247316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56C281D9">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750" w:type="dxa"/>
            <w:tcBorders>
              <w:tl2br w:val="nil"/>
              <w:tr2bl w:val="nil"/>
            </w:tcBorders>
            <w:vAlign w:val="center"/>
          </w:tcPr>
          <w:p w14:paraId="5FFC9440">
            <w:pPr>
              <w:pStyle w:val="45"/>
              <w:spacing w:before="46" w:after="46" w:line="240" w:lineRule="auto"/>
              <w:jc w:val="center"/>
              <w:rPr>
                <w:rFonts w:hint="default" w:hAnsi="宋体" w:eastAsia="宋体" w:cs="宋体"/>
                <w:bCs/>
                <w:sz w:val="24"/>
                <w:highlight w:val="none"/>
                <w:lang w:val="en-US" w:eastAsia="zh-CN"/>
              </w:rPr>
            </w:pPr>
            <w:r>
              <w:rPr>
                <w:rFonts w:hint="eastAsia" w:hAnsi="宋体" w:eastAsia="宋体" w:cs="宋体"/>
                <w:bCs/>
                <w:sz w:val="24"/>
                <w:highlight w:val="none"/>
                <w:lang w:val="en-US" w:eastAsia="zh-CN"/>
              </w:rPr>
              <w:t>其他说明</w:t>
            </w:r>
          </w:p>
        </w:tc>
        <w:tc>
          <w:tcPr>
            <w:tcW w:w="7087" w:type="dxa"/>
            <w:tcBorders>
              <w:tl2br w:val="nil"/>
              <w:tr2bl w:val="nil"/>
            </w:tcBorders>
            <w:vAlign w:val="center"/>
          </w:tcPr>
          <w:p w14:paraId="1242D0AB">
            <w:pPr>
              <w:pStyle w:val="45"/>
              <w:rPr>
                <w:rFonts w:hint="eastAsia" w:hAnsi="宋体" w:eastAsia="宋体" w:cs="宋体"/>
                <w:sz w:val="24"/>
                <w:highlight w:val="none"/>
                <w:lang w:bidi="ar"/>
              </w:rPr>
            </w:pPr>
            <w:r>
              <w:rPr>
                <w:rFonts w:hint="eastAsia" w:hAnsi="宋体" w:eastAsia="宋体" w:cs="宋体"/>
                <w:sz w:val="24"/>
                <w:highlight w:val="none"/>
                <w:lang w:bidi="ar"/>
              </w:rPr>
              <w:t>1.招标文件其他内容与投标人须知附表内容不一致的，以投标人须知附表规定的内容为准。项目编号以招标文件中的项目编号为准。</w:t>
            </w:r>
          </w:p>
          <w:p w14:paraId="282888B4">
            <w:pPr>
              <w:pStyle w:val="45"/>
              <w:rPr>
                <w:rFonts w:hint="eastAsia" w:hAnsi="宋体" w:eastAsia="宋体" w:cs="宋体"/>
                <w:sz w:val="24"/>
                <w:highlight w:val="none"/>
                <w:lang w:bidi="ar"/>
              </w:rPr>
            </w:pPr>
            <w:r>
              <w:rPr>
                <w:rFonts w:hint="eastAsia" w:hAnsi="宋体" w:eastAsia="宋体" w:cs="宋体"/>
                <w:sz w:val="24"/>
                <w:highlight w:val="none"/>
                <w:lang w:bidi="ar"/>
              </w:rPr>
              <w:t>2.投标人在本采购活动中有违法违规情形的，招标人有权禁止其参与本单位的采购活动。</w:t>
            </w:r>
          </w:p>
          <w:p w14:paraId="6371889C">
            <w:pPr>
              <w:pStyle w:val="45"/>
              <w:rPr>
                <w:rFonts w:hint="eastAsia" w:hAnsi="宋体" w:eastAsia="宋体" w:cs="宋体"/>
                <w:sz w:val="24"/>
                <w:highlight w:val="none"/>
                <w:lang w:bidi="ar"/>
              </w:rPr>
            </w:pPr>
            <w:r>
              <w:rPr>
                <w:rFonts w:hint="eastAsia" w:hAnsi="宋体" w:eastAsia="宋体" w:cs="宋体"/>
                <w:sz w:val="24"/>
                <w:highlight w:val="none"/>
                <w:lang w:bidi="ar"/>
              </w:rPr>
              <w:t>3.本次项目非《中华人民共和国政府采购法》所规定的政府采购。</w:t>
            </w:r>
          </w:p>
          <w:p w14:paraId="2413822F">
            <w:pPr>
              <w:pStyle w:val="45"/>
              <w:rPr>
                <w:rFonts w:hint="eastAsia" w:hAnsi="宋体" w:eastAsia="宋体" w:cs="宋体"/>
                <w:sz w:val="24"/>
                <w:highlight w:val="none"/>
                <w:lang w:bidi="ar"/>
              </w:rPr>
            </w:pPr>
            <w:r>
              <w:rPr>
                <w:rFonts w:hint="eastAsia" w:hAnsi="宋体" w:eastAsia="宋体" w:cs="宋体"/>
                <w:sz w:val="24"/>
                <w:highlight w:val="none"/>
                <w:lang w:bidi="ar"/>
              </w:rPr>
              <w:t>4.各潜在投标人在采购过程中有相关咨询事项的，应注意其自身身份的保密，若因投标人自身原因，造成其投标信息泄漏的，由其承担相应责任。</w:t>
            </w:r>
          </w:p>
          <w:p w14:paraId="1F2EC286">
            <w:pPr>
              <w:pStyle w:val="45"/>
              <w:rPr>
                <w:rFonts w:hint="eastAsia" w:hAnsi="宋体" w:eastAsia="宋体" w:cs="宋体"/>
                <w:sz w:val="24"/>
                <w:highlight w:val="none"/>
                <w:lang w:bidi="ar"/>
              </w:rPr>
            </w:pPr>
            <w:r>
              <w:rPr>
                <w:rFonts w:hint="eastAsia" w:hAnsi="宋体" w:eastAsia="宋体" w:cs="宋体"/>
                <w:sz w:val="24"/>
                <w:highlight w:val="none"/>
                <w:lang w:bidi="ar"/>
              </w:rPr>
              <w:t>5.本招标文件由招标人和招标代理机构负责解释。</w:t>
            </w:r>
          </w:p>
          <w:p w14:paraId="62BA4572">
            <w:pPr>
              <w:pStyle w:val="45"/>
              <w:rPr>
                <w:rFonts w:hint="default" w:hAnsi="宋体" w:eastAsia="宋体" w:cs="宋体"/>
                <w:sz w:val="24"/>
                <w:highlight w:val="none"/>
                <w:lang w:val="en-US" w:eastAsia="zh-CN" w:bidi="ar"/>
              </w:rPr>
            </w:pPr>
            <w:r>
              <w:rPr>
                <w:rFonts w:hint="eastAsia" w:hAnsi="宋体" w:eastAsia="宋体" w:cs="宋体"/>
                <w:sz w:val="24"/>
                <w:highlight w:val="none"/>
                <w:lang w:val="en-US" w:eastAsia="zh-CN" w:bidi="ar"/>
              </w:rPr>
              <w:t>6.本招标文件中出现的品牌、型号，仅为描述有关产品或设备的性能档次，不具有强制性，投标人可选择能满足文中品牌参数的其他产品。</w:t>
            </w:r>
          </w:p>
        </w:tc>
      </w:tr>
    </w:tbl>
    <w:p w14:paraId="634A294C">
      <w:pPr>
        <w:rPr>
          <w:rFonts w:ascii="宋体" w:hAnsi="宋体" w:eastAsia="宋体" w:cs="宋体"/>
          <w:b/>
          <w:bCs/>
          <w:color w:val="auto"/>
          <w:sz w:val="31"/>
          <w:szCs w:val="31"/>
          <w:highlight w:val="none"/>
        </w:rPr>
      </w:pPr>
      <w:r>
        <w:rPr>
          <w:rFonts w:ascii="宋体" w:hAnsi="宋体" w:eastAsia="宋体" w:cs="宋体"/>
          <w:b/>
          <w:bCs/>
          <w:color w:val="auto"/>
          <w:sz w:val="31"/>
          <w:szCs w:val="31"/>
          <w:highlight w:val="none"/>
        </w:rPr>
        <w:br w:type="page"/>
      </w:r>
    </w:p>
    <w:p w14:paraId="4D1FDDC9">
      <w:pPr>
        <w:pStyle w:val="12"/>
        <w:rPr>
          <w:highlight w:val="none"/>
        </w:rPr>
      </w:pPr>
    </w:p>
    <w:p w14:paraId="3F740915">
      <w:pPr>
        <w:spacing w:line="240" w:lineRule="auto"/>
        <w:ind w:firstLine="622" w:firstLineChars="200"/>
        <w:jc w:val="center"/>
        <w:outlineLvl w:val="1"/>
        <w:rPr>
          <w:rFonts w:ascii="宋体" w:hAnsi="宋体" w:eastAsia="宋体" w:cs="宋体"/>
          <w:b/>
          <w:bCs/>
          <w:color w:val="auto"/>
          <w:sz w:val="31"/>
          <w:szCs w:val="31"/>
          <w:highlight w:val="none"/>
        </w:rPr>
      </w:pPr>
      <w:bookmarkStart w:id="12" w:name="_Toc23993"/>
      <w:r>
        <w:rPr>
          <w:rFonts w:hint="eastAsia" w:ascii="宋体" w:hAnsi="宋体" w:eastAsia="宋体" w:cs="宋体"/>
          <w:b/>
          <w:bCs/>
          <w:color w:val="auto"/>
          <w:sz w:val="31"/>
          <w:szCs w:val="31"/>
          <w:highlight w:val="none"/>
        </w:rPr>
        <w:t>二 、 总  则</w:t>
      </w:r>
      <w:bookmarkEnd w:id="11"/>
      <w:bookmarkEnd w:id="12"/>
    </w:p>
    <w:p w14:paraId="0543B273">
      <w:pPr>
        <w:spacing w:line="240" w:lineRule="auto"/>
        <w:outlineLvl w:val="9"/>
        <w:rPr>
          <w:rFonts w:ascii="宋体" w:hAnsi="宋体" w:eastAsia="宋体" w:cs="宋体"/>
          <w:b/>
          <w:bCs/>
          <w:color w:val="auto"/>
          <w:sz w:val="24"/>
          <w:szCs w:val="24"/>
          <w:highlight w:val="none"/>
        </w:rPr>
      </w:pPr>
      <w:bookmarkStart w:id="13" w:name="_Toc18679"/>
      <w:bookmarkStart w:id="14" w:name="_Toc27740"/>
      <w:r>
        <w:rPr>
          <w:rFonts w:hint="eastAsia" w:ascii="宋体" w:hAnsi="宋体" w:eastAsia="宋体" w:cs="宋体"/>
          <w:b/>
          <w:bCs/>
          <w:color w:val="auto"/>
          <w:sz w:val="24"/>
          <w:szCs w:val="24"/>
          <w:highlight w:val="none"/>
        </w:rPr>
        <w:t>1.适用范围</w:t>
      </w:r>
      <w:bookmarkEnd w:id="13"/>
      <w:bookmarkEnd w:id="14"/>
    </w:p>
    <w:p w14:paraId="5475D2DE">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1.1 本招标文件仅适用于本次招标采购项目。</w:t>
      </w:r>
    </w:p>
    <w:p w14:paraId="2C40781C">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1.2 本招标文件的解释权归</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所有。</w:t>
      </w:r>
    </w:p>
    <w:p w14:paraId="647018EF">
      <w:pPr>
        <w:spacing w:line="240" w:lineRule="auto"/>
        <w:outlineLvl w:val="9"/>
        <w:rPr>
          <w:rFonts w:ascii="宋体" w:hAnsi="宋体" w:eastAsia="宋体" w:cs="宋体"/>
          <w:b/>
          <w:bCs/>
          <w:color w:val="auto"/>
          <w:sz w:val="24"/>
          <w:szCs w:val="24"/>
          <w:highlight w:val="none"/>
        </w:rPr>
      </w:pPr>
      <w:bookmarkStart w:id="15" w:name="_Toc28213"/>
      <w:bookmarkStart w:id="16" w:name="_Toc22141"/>
      <w:r>
        <w:rPr>
          <w:rFonts w:hint="eastAsia" w:ascii="宋体" w:hAnsi="宋体" w:eastAsia="宋体" w:cs="宋体"/>
          <w:b/>
          <w:bCs/>
          <w:color w:val="auto"/>
          <w:sz w:val="24"/>
          <w:szCs w:val="24"/>
          <w:highlight w:val="none"/>
        </w:rPr>
        <w:t>2.有关定义</w:t>
      </w:r>
      <w:bookmarkEnd w:id="15"/>
      <w:bookmarkEnd w:id="16"/>
    </w:p>
    <w:p w14:paraId="05CF484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2.1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”系指依法进行采购的国家机关、事业单位、团体组织。本次招标的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成都市技师学院</w:t>
      </w:r>
      <w:r>
        <w:rPr>
          <w:rFonts w:hint="eastAsia" w:ascii="宋体" w:hAnsi="宋体" w:eastAsia="宋体" w:cs="宋体"/>
          <w:b/>
          <w:bCs/>
          <w:color w:val="auto"/>
          <w:sz w:val="24"/>
          <w:szCs w:val="24"/>
          <w:highlight w:val="none"/>
          <w:u w:val="single"/>
        </w:rPr>
        <w:t xml:space="preserve"> </w:t>
      </w:r>
      <w:r>
        <w:rPr>
          <w:rFonts w:ascii="宋体" w:hAnsi="宋体" w:eastAsia="宋体" w:cs="宋体"/>
          <w:color w:val="auto"/>
          <w:sz w:val="24"/>
          <w:szCs w:val="24"/>
          <w:highlight w:val="none"/>
        </w:rPr>
        <w:t>。</w:t>
      </w:r>
    </w:p>
    <w:p w14:paraId="1CD127D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2.2 “</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”系指根据</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的委托依法办理招标事宜的采购机构。本次招标的</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w:t>
      </w:r>
    </w:p>
    <w:p w14:paraId="257CDF9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2.3 “招标采购单位”系指“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”的统称。</w:t>
      </w:r>
    </w:p>
    <w:p w14:paraId="16846F6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2.4 “投标人”系指购买了招标文件拟参加投标和向</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货物或服务</w:t>
      </w:r>
      <w:r>
        <w:rPr>
          <w:rFonts w:ascii="宋体" w:hAnsi="宋体" w:eastAsia="宋体" w:cs="宋体"/>
          <w:color w:val="auto"/>
          <w:sz w:val="24"/>
          <w:szCs w:val="24"/>
          <w:highlight w:val="none"/>
        </w:rPr>
        <w:t>的供应商。</w:t>
      </w:r>
    </w:p>
    <w:p w14:paraId="062E752A">
      <w:pPr>
        <w:spacing w:line="240" w:lineRule="auto"/>
        <w:ind w:firstLine="240" w:firstLineChars="100"/>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2.5 </w:t>
      </w:r>
      <w:r>
        <w:rPr>
          <w:rFonts w:hint="eastAsia" w:hAnsi="宋体" w:cs="宋体"/>
          <w:sz w:val="24"/>
          <w:highlight w:val="none"/>
          <w:lang w:val="en-US" w:eastAsia="zh-CN"/>
        </w:rPr>
        <w:t>本招标文件中出现的措辞“采购文件”与“招标文件”含义相同；“招标人”与“采购人“含义相同；“投标人”与“供应商“含义相同；“采购代理机构”与</w:t>
      </w:r>
      <w:r>
        <w:rPr>
          <w:rFonts w:hint="eastAsia" w:hAnsi="宋体" w:cs="宋体"/>
          <w:sz w:val="24"/>
          <w:highlight w:val="none"/>
        </w:rPr>
        <w:t>“招标代理机构”</w:t>
      </w:r>
      <w:r>
        <w:rPr>
          <w:rFonts w:hint="eastAsia" w:hAnsi="宋体" w:cs="宋体"/>
          <w:sz w:val="24"/>
          <w:highlight w:val="none"/>
          <w:lang w:val="en-US" w:eastAsia="zh-CN"/>
        </w:rPr>
        <w:t>含义相同。</w:t>
      </w:r>
    </w:p>
    <w:p w14:paraId="2AD64FAC">
      <w:pPr>
        <w:spacing w:line="240" w:lineRule="auto"/>
        <w:outlineLvl w:val="9"/>
        <w:rPr>
          <w:rFonts w:ascii="宋体" w:hAnsi="宋体" w:eastAsia="宋体" w:cs="宋体"/>
          <w:b/>
          <w:bCs/>
          <w:color w:val="auto"/>
          <w:sz w:val="24"/>
          <w:szCs w:val="24"/>
          <w:highlight w:val="none"/>
        </w:rPr>
      </w:pPr>
      <w:bookmarkStart w:id="17" w:name="_Toc6383"/>
      <w:bookmarkStart w:id="18" w:name="_Toc16540"/>
      <w:r>
        <w:rPr>
          <w:rFonts w:hint="eastAsia" w:ascii="宋体" w:hAnsi="宋体" w:eastAsia="宋体" w:cs="宋体"/>
          <w:b/>
          <w:bCs/>
          <w:color w:val="auto"/>
          <w:sz w:val="24"/>
          <w:szCs w:val="24"/>
          <w:highlight w:val="none"/>
        </w:rPr>
        <w:t>3.合格的投标人 (实质性要求)</w:t>
      </w:r>
      <w:bookmarkEnd w:id="17"/>
      <w:bookmarkEnd w:id="18"/>
    </w:p>
    <w:p w14:paraId="55EA01D5">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合格的投标人应具备以下条件：</w:t>
      </w:r>
    </w:p>
    <w:p w14:paraId="72C0381F">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3.1 本招标文件规定的供应商资格条件；</w:t>
      </w:r>
    </w:p>
    <w:p w14:paraId="1DE0A590">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3.2 遵守国家有关的法律、法规、规章和其他政策制度；</w:t>
      </w:r>
    </w:p>
    <w:p w14:paraId="69BC944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rPr>
        <w:t>不属于禁止参加本项目采购活动的供应商；</w:t>
      </w:r>
    </w:p>
    <w:p w14:paraId="490854C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按规定获取了招标文件</w:t>
      </w:r>
      <w:r>
        <w:rPr>
          <w:rFonts w:ascii="宋体" w:hAnsi="宋体" w:eastAsia="宋体" w:cs="宋体"/>
          <w:color w:val="auto"/>
          <w:sz w:val="24"/>
          <w:szCs w:val="24"/>
          <w:highlight w:val="none"/>
        </w:rPr>
        <w:t>。</w:t>
      </w:r>
    </w:p>
    <w:p w14:paraId="7E6B7C40">
      <w:pPr>
        <w:spacing w:line="240" w:lineRule="auto"/>
        <w:outlineLvl w:val="9"/>
        <w:rPr>
          <w:rFonts w:ascii="宋体" w:hAnsi="宋体" w:eastAsia="宋体" w:cs="宋体"/>
          <w:b/>
          <w:bCs/>
          <w:color w:val="auto"/>
          <w:sz w:val="24"/>
          <w:szCs w:val="24"/>
          <w:highlight w:val="none"/>
        </w:rPr>
      </w:pPr>
      <w:bookmarkStart w:id="19" w:name="_Toc3991"/>
      <w:bookmarkStart w:id="20" w:name="_Toc30882"/>
      <w:r>
        <w:rPr>
          <w:rFonts w:hint="eastAsia" w:ascii="宋体" w:hAnsi="宋体" w:eastAsia="宋体" w:cs="宋体"/>
          <w:b/>
          <w:bCs/>
          <w:color w:val="auto"/>
          <w:sz w:val="24"/>
          <w:szCs w:val="24"/>
          <w:highlight w:val="none"/>
        </w:rPr>
        <w:t>4.投标费用 (实质性要求)</w:t>
      </w:r>
      <w:bookmarkEnd w:id="19"/>
      <w:bookmarkEnd w:id="20"/>
    </w:p>
    <w:p w14:paraId="582B1654">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投标人参加投标的有关费用由投标人自行承担。</w:t>
      </w:r>
    </w:p>
    <w:p w14:paraId="2839D8CE">
      <w:pPr>
        <w:spacing w:line="240" w:lineRule="auto"/>
        <w:outlineLvl w:val="9"/>
        <w:rPr>
          <w:rFonts w:ascii="宋体" w:hAnsi="宋体" w:eastAsia="宋体" w:cs="宋体"/>
          <w:b/>
          <w:bCs/>
          <w:color w:val="auto"/>
          <w:sz w:val="24"/>
          <w:szCs w:val="24"/>
          <w:highlight w:val="none"/>
        </w:rPr>
      </w:pPr>
      <w:bookmarkStart w:id="21" w:name="_Toc10194"/>
      <w:bookmarkStart w:id="22" w:name="_Toc27215"/>
      <w:r>
        <w:rPr>
          <w:rFonts w:hint="eastAsia" w:ascii="宋体" w:hAnsi="宋体" w:eastAsia="宋体" w:cs="宋体"/>
          <w:b/>
          <w:bCs/>
          <w:color w:val="auto"/>
          <w:sz w:val="24"/>
          <w:szCs w:val="24"/>
          <w:highlight w:val="none"/>
        </w:rPr>
        <w:t>5.充分、公平竞争保障措施 (实质性要求)</w:t>
      </w:r>
      <w:bookmarkEnd w:id="21"/>
      <w:bookmarkEnd w:id="22"/>
    </w:p>
    <w:p w14:paraId="1D4E20C1">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1</w:t>
      </w:r>
      <w:r>
        <w:rPr>
          <w:rFonts w:ascii="宋体" w:hAnsi="宋体" w:eastAsia="宋体" w:cs="宋体"/>
          <w:b/>
          <w:bCs/>
          <w:color w:val="auto"/>
          <w:sz w:val="24"/>
          <w:szCs w:val="24"/>
          <w:highlight w:val="none"/>
        </w:rPr>
        <w:t xml:space="preserve"> 利害关系供应商处理。</w:t>
      </w:r>
      <w:r>
        <w:rPr>
          <w:rFonts w:ascii="宋体" w:hAnsi="宋体" w:eastAsia="宋体" w:cs="宋体"/>
          <w:color w:val="auto"/>
          <w:sz w:val="24"/>
          <w:szCs w:val="24"/>
          <w:highlight w:val="none"/>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1B760F15">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前期参与供应商处理。</w:t>
      </w:r>
      <w:r>
        <w:rPr>
          <w:rFonts w:ascii="宋体" w:hAnsi="宋体" w:eastAsia="宋体" w:cs="宋体"/>
          <w:color w:val="auto"/>
          <w:sz w:val="24"/>
          <w:szCs w:val="24"/>
          <w:highlight w:val="none"/>
        </w:rPr>
        <w:t>为采购项目提供整体设计、规范编制或者项目管理、监理、检测等服务的供应商，不得再参加该采购项目的其他采购活动。供应商为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3A6571B">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利害关系代理人处理。</w:t>
      </w:r>
      <w:r>
        <w:rPr>
          <w:rFonts w:hint="eastAsia" w:ascii="宋体" w:hAnsi="宋体" w:eastAsia="宋体" w:cs="宋体"/>
          <w:color w:val="auto"/>
          <w:sz w:val="24"/>
          <w:szCs w:val="24"/>
          <w:highlight w:val="none"/>
        </w:rPr>
        <w:t>两</w:t>
      </w:r>
      <w:r>
        <w:rPr>
          <w:rFonts w:ascii="宋体" w:hAnsi="宋体" w:eastAsia="宋体" w:cs="宋体"/>
          <w:color w:val="auto"/>
          <w:sz w:val="24"/>
          <w:szCs w:val="24"/>
          <w:highlight w:val="none"/>
        </w:rPr>
        <w:t>家以上的供应商不得在同一合同项下的采购项目中，同时委托同一个自然人、同一家庭的人员、同一单位的人员作为其</w:t>
      </w:r>
      <w:r>
        <w:rPr>
          <w:rFonts w:hint="eastAsia" w:ascii="宋体" w:hAnsi="宋体" w:eastAsia="宋体" w:cs="宋体"/>
          <w:color w:val="auto"/>
          <w:sz w:val="24"/>
          <w:szCs w:val="24"/>
          <w:highlight w:val="none"/>
        </w:rPr>
        <w:t>授权代表人，</w:t>
      </w:r>
      <w:r>
        <w:rPr>
          <w:rFonts w:ascii="宋体" w:hAnsi="宋体" w:eastAsia="宋体" w:cs="宋体"/>
          <w:color w:val="auto"/>
          <w:sz w:val="24"/>
          <w:szCs w:val="24"/>
          <w:highlight w:val="none"/>
        </w:rPr>
        <w:t>否则，其投标文件作为无效处理。</w:t>
      </w:r>
    </w:p>
    <w:p w14:paraId="6F1DF8D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供应商实际控制人或者中高级管理人员，同时是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工作人员，不得参与本项目采购活动。</w:t>
      </w:r>
    </w:p>
    <w:p w14:paraId="207CA9F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 xml:space="preserve"> 供应商与</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存在关联关系，或者是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的母公司或子公司，不得参加本项目采购活动。</w:t>
      </w:r>
    </w:p>
    <w:p w14:paraId="797FEBC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回避。采购活动中，</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员及相关人员与供应商有下列利害关系之一的，应当回避：</w:t>
      </w:r>
    </w:p>
    <w:p w14:paraId="0EB343C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(1)参加采购活动前3年内与供应商存在劳动关系；</w:t>
      </w:r>
    </w:p>
    <w:p w14:paraId="79F01D2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(2)参加采购活动前3年内担任供应商的董事、监事；</w:t>
      </w:r>
    </w:p>
    <w:p w14:paraId="745B150B">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(3)参加采购活动前3年内是供应商的控股股东或者实际控制人；</w:t>
      </w:r>
    </w:p>
    <w:p w14:paraId="5830183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(4)与供应商的法定代表人或者负责人有夫妻、直系血亲、三代以内旁系血亲或者近姻亲关系；</w:t>
      </w:r>
    </w:p>
    <w:p w14:paraId="7E8A66D4">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(5)与供应商有其他可能影响采购活动公平、公正进行的关系。</w:t>
      </w:r>
    </w:p>
    <w:p w14:paraId="752B8519">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本项目采购活动中需要依法回避的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员是指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内部负责采购项目的具体经办工作人员和直接分管采购项目的负责人，以及</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负责采购项目的具体经办工作人员和直接分管采购活动的负责人。本项目采购活动中需要依法回避的相关人员是指评标委员会成员。</w:t>
      </w:r>
    </w:p>
    <w:p w14:paraId="4EB4E174">
      <w:pPr>
        <w:spacing w:line="240" w:lineRule="auto"/>
        <w:ind w:firstLine="240" w:firstLineChars="100"/>
        <w:rPr>
          <w:rFonts w:ascii="宋体" w:hAnsi="宋体" w:eastAsia="宋体" w:cs="宋体"/>
          <w:color w:val="auto"/>
          <w:sz w:val="23"/>
          <w:szCs w:val="23"/>
          <w:highlight w:val="none"/>
        </w:rPr>
      </w:pPr>
      <w:r>
        <w:rPr>
          <w:rFonts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员及相关人员与其他供应商有利害关系的，可以向</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书面提出回避申请，并说明理由。</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将及时询问被申请回避人员，有利害关系的被申请回避人员应当回避。</w:t>
      </w:r>
    </w:p>
    <w:p w14:paraId="09B0DB10">
      <w:pPr>
        <w:spacing w:line="240" w:lineRule="auto"/>
        <w:ind w:firstLine="622" w:firstLineChars="200"/>
        <w:jc w:val="center"/>
        <w:outlineLvl w:val="1"/>
        <w:rPr>
          <w:rFonts w:ascii="宋体" w:hAnsi="宋体" w:eastAsia="宋体" w:cs="宋体"/>
          <w:b/>
          <w:bCs/>
          <w:color w:val="auto"/>
          <w:sz w:val="31"/>
          <w:szCs w:val="31"/>
          <w:highlight w:val="none"/>
        </w:rPr>
      </w:pPr>
      <w:bookmarkStart w:id="23" w:name="_Toc29728"/>
      <w:bookmarkStart w:id="24" w:name="_Toc3761"/>
      <w:r>
        <w:rPr>
          <w:rFonts w:hint="eastAsia" w:ascii="宋体" w:hAnsi="宋体" w:eastAsia="宋体" w:cs="宋体"/>
          <w:b/>
          <w:bCs/>
          <w:color w:val="auto"/>
          <w:sz w:val="31"/>
          <w:szCs w:val="31"/>
          <w:highlight w:val="none"/>
        </w:rPr>
        <w:t>三、招标文件</w:t>
      </w:r>
      <w:bookmarkEnd w:id="23"/>
      <w:bookmarkEnd w:id="24"/>
    </w:p>
    <w:p w14:paraId="5FD1CA69">
      <w:pPr>
        <w:spacing w:line="240" w:lineRule="auto"/>
        <w:outlineLvl w:val="9"/>
        <w:rPr>
          <w:rFonts w:ascii="宋体" w:hAnsi="宋体" w:eastAsia="宋体" w:cs="宋体"/>
          <w:b/>
          <w:bCs/>
          <w:color w:val="auto"/>
          <w:sz w:val="24"/>
          <w:szCs w:val="24"/>
          <w:highlight w:val="none"/>
        </w:rPr>
      </w:pPr>
      <w:bookmarkStart w:id="25" w:name="_Toc30193"/>
      <w:bookmarkStart w:id="26" w:name="_Toc26538"/>
      <w:r>
        <w:rPr>
          <w:rFonts w:hint="eastAsia" w:ascii="宋体" w:hAnsi="宋体" w:eastAsia="宋体" w:cs="宋体"/>
          <w:b/>
          <w:bCs/>
          <w:color w:val="auto"/>
          <w:sz w:val="24"/>
          <w:szCs w:val="24"/>
          <w:highlight w:val="none"/>
        </w:rPr>
        <w:t>6.招标文件的构成</w:t>
      </w:r>
      <w:bookmarkEnd w:id="25"/>
      <w:bookmarkEnd w:id="26"/>
    </w:p>
    <w:p w14:paraId="0C09015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5D59D8C4">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(一) 投标邀请；</w:t>
      </w:r>
    </w:p>
    <w:p w14:paraId="410A4450">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(二) 投标人须知；</w:t>
      </w:r>
    </w:p>
    <w:p w14:paraId="34E089C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(三) 投标文件格式；</w:t>
      </w:r>
    </w:p>
    <w:p w14:paraId="05ECACE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(四) 投标人和投标产品的资格、资质性及其他类似效力要求；</w:t>
      </w:r>
    </w:p>
    <w:p w14:paraId="5AABE3C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投标人应当提供的资格、资质性及其他类似效力要求的相关证明材料；</w:t>
      </w:r>
    </w:p>
    <w:p w14:paraId="0F4F5E8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(六) 招标项目技术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ascii="宋体" w:hAnsi="宋体" w:eastAsia="宋体" w:cs="宋体"/>
          <w:color w:val="auto"/>
          <w:sz w:val="24"/>
          <w:szCs w:val="24"/>
          <w:highlight w:val="none"/>
        </w:rPr>
        <w:t>及商务要求；</w:t>
      </w:r>
    </w:p>
    <w:p w14:paraId="1C655E0B">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(七) 评标办法；</w:t>
      </w:r>
    </w:p>
    <w:p w14:paraId="33C21F2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(八) 合同主要条款。</w:t>
      </w:r>
    </w:p>
    <w:p w14:paraId="1D1DB1B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w:t>
      </w:r>
    </w:p>
    <w:p w14:paraId="02B36423">
      <w:pPr>
        <w:spacing w:line="240" w:lineRule="auto"/>
        <w:outlineLvl w:val="9"/>
        <w:rPr>
          <w:rFonts w:ascii="宋体" w:hAnsi="宋体" w:eastAsia="宋体" w:cs="宋体"/>
          <w:b/>
          <w:bCs/>
          <w:color w:val="auto"/>
          <w:sz w:val="24"/>
          <w:szCs w:val="24"/>
          <w:highlight w:val="none"/>
        </w:rPr>
      </w:pPr>
      <w:bookmarkStart w:id="27" w:name="_Toc5879"/>
      <w:bookmarkStart w:id="28" w:name="_Toc2852"/>
      <w:r>
        <w:rPr>
          <w:rFonts w:hint="eastAsia" w:ascii="宋体" w:hAnsi="宋体" w:eastAsia="宋体" w:cs="宋体"/>
          <w:b/>
          <w:bCs/>
          <w:color w:val="auto"/>
          <w:sz w:val="24"/>
          <w:szCs w:val="24"/>
          <w:highlight w:val="none"/>
        </w:rPr>
        <w:t>7.招标文件的澄清和修改</w:t>
      </w:r>
      <w:bookmarkEnd w:id="27"/>
      <w:bookmarkEnd w:id="28"/>
    </w:p>
    <w:p w14:paraId="3EE9706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.1 招标采购单位可以依法对招标文件进行澄清或者修改。</w:t>
      </w:r>
    </w:p>
    <w:p w14:paraId="7F436F1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 招标采购单位对已发出的招标文件进行澄清或者修改，澄清或者修改的内容可能影响投标文件编制的，将在招标文件要求的提交投标文件截止时间至少十五日前进行，并以书面形式将澄清或者修改的内容通知所有获取招标文件的潜在投标人，同时在</w:t>
      </w:r>
      <w:r>
        <w:rPr>
          <w:rFonts w:hint="eastAsia" w:ascii="宋体" w:hAnsi="宋体" w:eastAsia="宋体" w:cs="宋体"/>
          <w:color w:val="auto"/>
          <w:sz w:val="24"/>
          <w:szCs w:val="24"/>
          <w:highlight w:val="none"/>
        </w:rPr>
        <w:t>中国招标投标公共服务平台（http://www.cebpubservice.com/）</w:t>
      </w:r>
      <w:r>
        <w:rPr>
          <w:rFonts w:ascii="宋体" w:hAnsi="宋体" w:eastAsia="宋体" w:cs="宋体"/>
          <w:color w:val="auto"/>
          <w:sz w:val="24"/>
          <w:szCs w:val="24"/>
          <w:highlight w:val="none"/>
        </w:rPr>
        <w:t>发布更正公告；不足15日的，应当顺延提交投标文件的截止时间。该澄清或者修改的内容为招标文件的组成部分。</w:t>
      </w:r>
    </w:p>
    <w:p w14:paraId="1417BC3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.3 在投标截止时间前，招标采购单位可以视采购具体情况，延长投标截止时间和开标时间。</w:t>
      </w:r>
    </w:p>
    <w:p w14:paraId="6D2B314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.4 投标人认为需要对招标文件进行澄清或者修改的，可以以书面形式向招标采购单位提出申请，但招标采购单位可以决定是否采纳投标人的申请事项。</w:t>
      </w:r>
    </w:p>
    <w:p w14:paraId="6AC59B88">
      <w:pPr>
        <w:spacing w:line="240" w:lineRule="auto"/>
        <w:outlineLvl w:val="9"/>
        <w:rPr>
          <w:rFonts w:ascii="宋体" w:hAnsi="宋体" w:eastAsia="宋体" w:cs="宋体"/>
          <w:b/>
          <w:bCs/>
          <w:color w:val="auto"/>
          <w:sz w:val="24"/>
          <w:szCs w:val="24"/>
          <w:highlight w:val="none"/>
        </w:rPr>
      </w:pPr>
      <w:bookmarkStart w:id="29" w:name="_Toc29062"/>
      <w:bookmarkStart w:id="30" w:name="_Toc21063"/>
      <w:r>
        <w:rPr>
          <w:rFonts w:hint="eastAsia" w:ascii="宋体" w:hAnsi="宋体" w:eastAsia="宋体" w:cs="宋体"/>
          <w:b/>
          <w:bCs/>
          <w:color w:val="auto"/>
          <w:sz w:val="24"/>
          <w:szCs w:val="24"/>
          <w:highlight w:val="none"/>
        </w:rPr>
        <w:t>8.答疑会和现场考察</w:t>
      </w:r>
      <w:bookmarkEnd w:id="29"/>
      <w:bookmarkEnd w:id="30"/>
    </w:p>
    <w:p w14:paraId="5DB5731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79ADE8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供应商考察现场所发生的一切费用由供应商自己承担。</w:t>
      </w:r>
    </w:p>
    <w:p w14:paraId="593E5C42">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现场考察/标前答疑会时间：</w:t>
      </w:r>
      <w:r>
        <w:rPr>
          <w:rFonts w:hint="eastAsia" w:ascii="宋体" w:hAnsi="宋体" w:eastAsia="宋体" w:cs="宋体"/>
          <w:b/>
          <w:bCs/>
          <w:color w:val="auto"/>
          <w:sz w:val="24"/>
          <w:szCs w:val="24"/>
          <w:highlight w:val="none"/>
          <w:lang w:val="en-US" w:eastAsia="zh-CN"/>
        </w:rPr>
        <w:t>详见“投标人须知附表”</w:t>
      </w:r>
      <w:r>
        <w:rPr>
          <w:rFonts w:hint="eastAsia" w:ascii="宋体" w:hAnsi="宋体" w:eastAsia="宋体" w:cs="宋体"/>
          <w:b/>
          <w:bCs/>
          <w:color w:val="auto"/>
          <w:sz w:val="24"/>
          <w:szCs w:val="24"/>
          <w:highlight w:val="none"/>
        </w:rPr>
        <w:t>。</w:t>
      </w:r>
    </w:p>
    <w:p w14:paraId="29E475DD">
      <w:pPr>
        <w:spacing w:line="240" w:lineRule="auto"/>
        <w:ind w:firstLine="241" w:firstLineChars="100"/>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现场考察/标前答疑会地点：</w:t>
      </w:r>
      <w:r>
        <w:rPr>
          <w:rFonts w:hint="eastAsia" w:ascii="宋体" w:hAnsi="宋体" w:eastAsia="宋体" w:cs="宋体"/>
          <w:b/>
          <w:bCs/>
          <w:color w:val="auto"/>
          <w:sz w:val="24"/>
          <w:szCs w:val="24"/>
          <w:highlight w:val="none"/>
          <w:lang w:val="en-US" w:eastAsia="zh-CN"/>
        </w:rPr>
        <w:t>详见“投标人须知附表”</w:t>
      </w:r>
      <w:r>
        <w:rPr>
          <w:rFonts w:hint="eastAsia" w:ascii="宋体" w:hAnsi="宋体" w:eastAsia="宋体" w:cs="宋体"/>
          <w:b/>
          <w:bCs/>
          <w:color w:val="auto"/>
          <w:sz w:val="24"/>
          <w:szCs w:val="24"/>
          <w:highlight w:val="none"/>
        </w:rPr>
        <w:t>。</w:t>
      </w:r>
    </w:p>
    <w:p w14:paraId="6D80B36A">
      <w:pPr>
        <w:spacing w:line="240" w:lineRule="auto"/>
        <w:ind w:firstLine="622" w:firstLineChars="200"/>
        <w:jc w:val="center"/>
        <w:outlineLvl w:val="1"/>
        <w:rPr>
          <w:rFonts w:ascii="宋体" w:hAnsi="宋体" w:eastAsia="宋体" w:cs="宋体"/>
          <w:b/>
          <w:bCs/>
          <w:color w:val="auto"/>
          <w:sz w:val="31"/>
          <w:szCs w:val="31"/>
          <w:highlight w:val="none"/>
        </w:rPr>
      </w:pPr>
      <w:bookmarkStart w:id="31" w:name="_Toc19346"/>
      <w:bookmarkStart w:id="32" w:name="_Toc9364"/>
      <w:r>
        <w:rPr>
          <w:rFonts w:hint="eastAsia" w:ascii="宋体" w:hAnsi="宋体" w:eastAsia="宋体" w:cs="宋体"/>
          <w:b/>
          <w:bCs/>
          <w:color w:val="auto"/>
          <w:sz w:val="31"/>
          <w:szCs w:val="31"/>
          <w:highlight w:val="none"/>
        </w:rPr>
        <w:t>四、投标文件</w:t>
      </w:r>
      <w:bookmarkEnd w:id="31"/>
      <w:bookmarkEnd w:id="32"/>
    </w:p>
    <w:p w14:paraId="189A6F58">
      <w:pPr>
        <w:spacing w:line="240" w:lineRule="auto"/>
        <w:rPr>
          <w:color w:val="auto"/>
          <w:highlight w:val="none"/>
        </w:rPr>
      </w:pPr>
    </w:p>
    <w:p w14:paraId="6EC419B5">
      <w:pPr>
        <w:spacing w:line="240" w:lineRule="auto"/>
        <w:outlineLvl w:val="9"/>
        <w:rPr>
          <w:rFonts w:ascii="宋体" w:hAnsi="宋体" w:eastAsia="宋体" w:cs="宋体"/>
          <w:b/>
          <w:bCs/>
          <w:color w:val="auto"/>
          <w:sz w:val="24"/>
          <w:szCs w:val="24"/>
          <w:highlight w:val="none"/>
        </w:rPr>
      </w:pPr>
      <w:bookmarkStart w:id="33" w:name="_Toc18013"/>
      <w:bookmarkStart w:id="34" w:name="_Toc17087"/>
      <w:r>
        <w:rPr>
          <w:rFonts w:hint="eastAsia" w:ascii="宋体" w:hAnsi="宋体" w:eastAsia="宋体" w:cs="宋体"/>
          <w:b/>
          <w:bCs/>
          <w:color w:val="auto"/>
          <w:sz w:val="24"/>
          <w:szCs w:val="24"/>
          <w:highlight w:val="none"/>
        </w:rPr>
        <w:t>9.投标文件的语言 (实质性要求)</w:t>
      </w:r>
      <w:bookmarkEnd w:id="33"/>
      <w:bookmarkEnd w:id="34"/>
    </w:p>
    <w:p w14:paraId="3A489F01">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9.1 投标人提交的投标文件以及投标人与招标采购单位就有关投标的所有来往书面文件均须使用中文。</w:t>
      </w:r>
      <w:r>
        <w:rPr>
          <w:rFonts w:hint="eastAsia" w:ascii="宋体" w:hAnsi="宋体" w:eastAsia="宋体" w:cs="宋体"/>
          <w:b/>
          <w:bCs/>
          <w:color w:val="auto"/>
          <w:sz w:val="24"/>
          <w:szCs w:val="24"/>
          <w:highlight w:val="none"/>
        </w:rPr>
        <w:t>投标文件中如附有外文资料，必须逐一对应翻译成中文并加盖投标人公章后附在相关外文资料后面，否则，该外文资料将可能被视为无效材料。(说明：供应商的法定代表人或负责人为外籍人士的，法定代表人或负责人的签字和护照除外。)</w:t>
      </w:r>
    </w:p>
    <w:p w14:paraId="2BD02F1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翻译的中文资料与外文资料如果出现差异和矛盾时，以中文为准。涉嫌虚假响应的按照相关法律法规处理。</w:t>
      </w:r>
    </w:p>
    <w:p w14:paraId="4C2B4EA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未翻译的外文资料，评标委员会可将其视为无效材料。</w:t>
      </w:r>
    </w:p>
    <w:p w14:paraId="0200558E">
      <w:pPr>
        <w:spacing w:line="240" w:lineRule="auto"/>
        <w:outlineLvl w:val="9"/>
        <w:rPr>
          <w:rFonts w:ascii="宋体" w:hAnsi="宋体" w:eastAsia="宋体" w:cs="宋体"/>
          <w:b/>
          <w:bCs/>
          <w:color w:val="auto"/>
          <w:sz w:val="24"/>
          <w:szCs w:val="24"/>
          <w:highlight w:val="none"/>
        </w:rPr>
      </w:pPr>
      <w:bookmarkStart w:id="35" w:name="_Toc17534"/>
      <w:bookmarkStart w:id="36" w:name="_Toc935"/>
      <w:r>
        <w:rPr>
          <w:rFonts w:hint="eastAsia" w:ascii="宋体" w:hAnsi="宋体" w:eastAsia="宋体" w:cs="宋体"/>
          <w:b/>
          <w:bCs/>
          <w:color w:val="auto"/>
          <w:sz w:val="24"/>
          <w:szCs w:val="24"/>
          <w:highlight w:val="none"/>
        </w:rPr>
        <w:t>10.计量单位 (实质性要求)</w:t>
      </w:r>
      <w:bookmarkEnd w:id="35"/>
      <w:bookmarkEnd w:id="36"/>
    </w:p>
    <w:p w14:paraId="0BF7F10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除招标文件中另有规定外，本次采购项目所有合同项下的投标均采用国家法定的计量单位。</w:t>
      </w:r>
    </w:p>
    <w:p w14:paraId="4123E6EB">
      <w:pPr>
        <w:spacing w:line="240" w:lineRule="auto"/>
        <w:outlineLvl w:val="9"/>
        <w:rPr>
          <w:rFonts w:ascii="宋体" w:hAnsi="宋体" w:eastAsia="宋体" w:cs="宋体"/>
          <w:b/>
          <w:bCs/>
          <w:color w:val="auto"/>
          <w:sz w:val="24"/>
          <w:szCs w:val="24"/>
          <w:highlight w:val="none"/>
        </w:rPr>
      </w:pPr>
      <w:bookmarkStart w:id="37" w:name="_Toc6193"/>
      <w:bookmarkStart w:id="38" w:name="_Toc10586"/>
      <w:r>
        <w:rPr>
          <w:rFonts w:hint="eastAsia" w:ascii="宋体" w:hAnsi="宋体" w:eastAsia="宋体" w:cs="宋体"/>
          <w:b/>
          <w:bCs/>
          <w:color w:val="auto"/>
          <w:sz w:val="24"/>
          <w:szCs w:val="24"/>
          <w:highlight w:val="none"/>
        </w:rPr>
        <w:t>11.投标货币 (实质性要求)</w:t>
      </w:r>
      <w:bookmarkEnd w:id="37"/>
      <w:bookmarkEnd w:id="38"/>
    </w:p>
    <w:p w14:paraId="341C5AE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58198B72">
      <w:pPr>
        <w:spacing w:line="240" w:lineRule="auto"/>
        <w:outlineLvl w:val="9"/>
        <w:rPr>
          <w:rFonts w:ascii="宋体" w:hAnsi="宋体" w:eastAsia="宋体" w:cs="宋体"/>
          <w:b/>
          <w:bCs/>
          <w:color w:val="auto"/>
          <w:sz w:val="24"/>
          <w:szCs w:val="24"/>
          <w:highlight w:val="none"/>
        </w:rPr>
      </w:pPr>
      <w:bookmarkStart w:id="39" w:name="_Toc9144"/>
      <w:bookmarkStart w:id="40" w:name="_Toc2356"/>
      <w:r>
        <w:rPr>
          <w:rFonts w:hint="eastAsia" w:ascii="宋体" w:hAnsi="宋体" w:eastAsia="宋体" w:cs="宋体"/>
          <w:b/>
          <w:bCs/>
          <w:color w:val="auto"/>
          <w:sz w:val="24"/>
          <w:szCs w:val="24"/>
          <w:highlight w:val="none"/>
        </w:rPr>
        <w:t>12.联合体投标 (实质性要求)</w:t>
      </w:r>
      <w:bookmarkEnd w:id="39"/>
      <w:bookmarkEnd w:id="40"/>
    </w:p>
    <w:p w14:paraId="7493F21A">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本次招标不接受联合体投标。</w:t>
      </w:r>
    </w:p>
    <w:p w14:paraId="13F6BC11">
      <w:pPr>
        <w:spacing w:line="240" w:lineRule="auto"/>
        <w:outlineLvl w:val="9"/>
        <w:rPr>
          <w:rFonts w:ascii="宋体" w:hAnsi="宋体" w:eastAsia="宋体" w:cs="宋体"/>
          <w:b/>
          <w:bCs/>
          <w:color w:val="auto"/>
          <w:sz w:val="24"/>
          <w:szCs w:val="24"/>
          <w:highlight w:val="none"/>
        </w:rPr>
      </w:pPr>
      <w:bookmarkStart w:id="41" w:name="_Toc9644"/>
      <w:bookmarkStart w:id="42" w:name="_Toc19716"/>
      <w:r>
        <w:rPr>
          <w:rFonts w:hint="eastAsia" w:ascii="宋体" w:hAnsi="宋体" w:eastAsia="宋体" w:cs="宋体"/>
          <w:b/>
          <w:bCs/>
          <w:color w:val="auto"/>
          <w:sz w:val="24"/>
          <w:szCs w:val="24"/>
          <w:highlight w:val="none"/>
        </w:rPr>
        <w:t>13.知识产权 (实质性要求)</w:t>
      </w:r>
      <w:bookmarkEnd w:id="41"/>
      <w:bookmarkEnd w:id="42"/>
    </w:p>
    <w:p w14:paraId="169D08B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4B4FCD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招标人享有本项目实施过程中产生的知识成果及知识产权。</w:t>
      </w:r>
    </w:p>
    <w:p w14:paraId="7025E04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投标人如欲在项目实施过程中采用自有知识成果，</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在投标文件中声明，并提供相关知识产权证明文件。使用该知识成果后，投标人需提供开发接口和开发手册等技术文档，并承诺提供无限期技术支持，招标人享有永久使用权(含招标人委托第三方在该项目后续开发的使用权) 。</w:t>
      </w:r>
    </w:p>
    <w:p w14:paraId="73BC6E7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 如采用投标人所不拥有的知识产权，则在投标报价中必须包括合法获取该知识产权的相关费用。</w:t>
      </w:r>
    </w:p>
    <w:p w14:paraId="2A772C12">
      <w:pPr>
        <w:spacing w:line="240" w:lineRule="auto"/>
        <w:outlineLvl w:val="9"/>
        <w:rPr>
          <w:rFonts w:ascii="宋体" w:hAnsi="宋体" w:eastAsia="宋体" w:cs="宋体"/>
          <w:b/>
          <w:bCs/>
          <w:color w:val="auto"/>
          <w:sz w:val="24"/>
          <w:szCs w:val="24"/>
          <w:highlight w:val="none"/>
        </w:rPr>
      </w:pPr>
      <w:bookmarkStart w:id="43" w:name="_Toc29270"/>
      <w:bookmarkStart w:id="44" w:name="_Toc27512"/>
      <w:r>
        <w:rPr>
          <w:rFonts w:hint="eastAsia" w:ascii="宋体" w:hAnsi="宋体" w:eastAsia="宋体" w:cs="宋体"/>
          <w:b/>
          <w:bCs/>
          <w:color w:val="auto"/>
          <w:sz w:val="24"/>
          <w:szCs w:val="24"/>
          <w:highlight w:val="none"/>
        </w:rPr>
        <w:t>14.投标文件的组成</w:t>
      </w:r>
      <w:bookmarkEnd w:id="43"/>
      <w:bookmarkEnd w:id="44"/>
    </w:p>
    <w:p w14:paraId="6816BD1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投标人应按照招标文件的规定和要求编制投标文件。投标人拟在中标后将中标项目的非主体、非关键性工作交由他人分包完成的，应当在投标文件中载明。投标人编写的投标文件应包括下列两部分：</w:t>
      </w:r>
    </w:p>
    <w:p w14:paraId="373ECDBE">
      <w:pPr>
        <w:spacing w:line="240" w:lineRule="auto"/>
        <w:outlineLvl w:val="9"/>
        <w:rPr>
          <w:rFonts w:ascii="宋体" w:hAnsi="宋体" w:eastAsia="宋体" w:cs="宋体"/>
          <w:b/>
          <w:bCs/>
          <w:color w:val="auto"/>
          <w:sz w:val="24"/>
          <w:szCs w:val="24"/>
          <w:highlight w:val="none"/>
        </w:rPr>
      </w:pPr>
      <w:bookmarkStart w:id="45" w:name="_Toc1820"/>
      <w:bookmarkStart w:id="46" w:name="_Toc25525"/>
      <w:r>
        <w:rPr>
          <w:rFonts w:hint="eastAsia" w:ascii="宋体" w:hAnsi="宋体" w:eastAsia="宋体" w:cs="宋体"/>
          <w:b/>
          <w:bCs/>
          <w:color w:val="auto"/>
          <w:sz w:val="24"/>
          <w:szCs w:val="24"/>
          <w:highlight w:val="none"/>
        </w:rPr>
        <w:t>14.1 第一部分:资格性投标文件</w:t>
      </w:r>
      <w:bookmarkEnd w:id="45"/>
      <w:bookmarkEnd w:id="46"/>
    </w:p>
    <w:p w14:paraId="0B70CA2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按照招标文件第四、五章要求，提供相关资格、资质性及其他类似效力要求的相关证明材料。</w:t>
      </w:r>
    </w:p>
    <w:p w14:paraId="32481C2D">
      <w:pPr>
        <w:spacing w:line="240" w:lineRule="auto"/>
        <w:outlineLvl w:val="9"/>
        <w:rPr>
          <w:rFonts w:ascii="宋体" w:hAnsi="宋体" w:eastAsia="宋体" w:cs="宋体"/>
          <w:b/>
          <w:bCs/>
          <w:color w:val="auto"/>
          <w:sz w:val="24"/>
          <w:szCs w:val="24"/>
          <w:highlight w:val="none"/>
        </w:rPr>
      </w:pPr>
      <w:bookmarkStart w:id="47" w:name="_Toc28961"/>
      <w:bookmarkStart w:id="48" w:name="_Toc23733"/>
      <w:r>
        <w:rPr>
          <w:rFonts w:hint="eastAsia" w:ascii="宋体" w:hAnsi="宋体" w:eastAsia="宋体" w:cs="宋体"/>
          <w:b/>
          <w:bCs/>
          <w:color w:val="auto"/>
          <w:sz w:val="24"/>
          <w:szCs w:val="24"/>
          <w:highlight w:val="none"/>
        </w:rPr>
        <w:t>14.2 第二部分:其他响应性投标文件</w:t>
      </w:r>
      <w:bookmarkEnd w:id="47"/>
      <w:bookmarkEnd w:id="48"/>
    </w:p>
    <w:p w14:paraId="6874989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 (包括但不限于) 以下五个方面的相关材料。</w:t>
      </w:r>
    </w:p>
    <w:p w14:paraId="0236C4CD">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14.2.1 报价部分。</w:t>
      </w:r>
      <w:r>
        <w:rPr>
          <w:rFonts w:ascii="宋体" w:hAnsi="宋体" w:eastAsia="宋体" w:cs="宋体"/>
          <w:color w:val="auto"/>
          <w:sz w:val="24"/>
          <w:szCs w:val="24"/>
          <w:highlight w:val="none"/>
        </w:rPr>
        <w:t>投标人按照招标文件要求填写的“开标一览表”。本次招标报价要求：</w:t>
      </w:r>
    </w:p>
    <w:p w14:paraId="7A773F13">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投标人的报价是投标人响应招标项目要求的全部工作内容的价格体现，包括投标人完成本项目所需的一切费用(实质性要求) 。</w:t>
      </w:r>
    </w:p>
    <w:p w14:paraId="59CCE432">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投标人每种货物</w:t>
      </w:r>
      <w:r>
        <w:rPr>
          <w:rFonts w:hint="eastAsia" w:ascii="宋体" w:hAnsi="宋体" w:eastAsia="宋体" w:cs="宋体"/>
          <w:b/>
          <w:bCs/>
          <w:color w:val="auto"/>
          <w:sz w:val="24"/>
          <w:szCs w:val="24"/>
          <w:highlight w:val="none"/>
          <w:lang w:val="en-US" w:eastAsia="zh-CN"/>
        </w:rPr>
        <w:t>或服务</w:t>
      </w:r>
      <w:r>
        <w:rPr>
          <w:rFonts w:hint="eastAsia" w:ascii="宋体" w:hAnsi="宋体" w:eastAsia="宋体" w:cs="宋体"/>
          <w:b/>
          <w:bCs/>
          <w:color w:val="auto"/>
          <w:sz w:val="24"/>
          <w:szCs w:val="24"/>
          <w:highlight w:val="none"/>
        </w:rPr>
        <w:t>只允许有一个报价，并且在合同履行过程中是固定不变的，任何有选择或可调整的报价将不予接受，并按无效投标处理 (实质性要求) 。</w:t>
      </w:r>
    </w:p>
    <w:p w14:paraId="18B6BA77">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14.2.2 技术、服务部分。</w:t>
      </w:r>
      <w:r>
        <w:rPr>
          <w:rFonts w:hint="eastAsia" w:ascii="宋体" w:hAnsi="宋体" w:eastAsia="宋体" w:cs="宋体"/>
          <w:color w:val="auto"/>
          <w:sz w:val="24"/>
          <w:szCs w:val="24"/>
          <w:highlight w:val="none"/>
        </w:rPr>
        <w:t>投标人按照招标文件要求做出的</w:t>
      </w:r>
      <w:r>
        <w:rPr>
          <w:rFonts w:hint="eastAsia" w:ascii="宋体" w:hAnsi="宋体" w:eastAsia="宋体" w:cs="宋体"/>
          <w:b/>
          <w:bCs/>
          <w:color w:val="auto"/>
          <w:sz w:val="24"/>
          <w:szCs w:val="24"/>
          <w:highlight w:val="none"/>
        </w:rPr>
        <w:t>技术、</w:t>
      </w:r>
      <w:r>
        <w:rPr>
          <w:rFonts w:hint="eastAsia" w:ascii="宋体" w:hAnsi="宋体" w:eastAsia="宋体" w:cs="宋体"/>
          <w:color w:val="auto"/>
          <w:sz w:val="24"/>
          <w:szCs w:val="24"/>
          <w:highlight w:val="none"/>
        </w:rPr>
        <w:t>服务应答，主要是针对招标项目的技术、服务内容做出的实质性响应和满足。投标人的</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color w:val="auto"/>
          <w:sz w:val="24"/>
          <w:szCs w:val="24"/>
          <w:highlight w:val="none"/>
        </w:rPr>
        <w:t>应答包括下列内容（如涉及）：</w:t>
      </w:r>
    </w:p>
    <w:p w14:paraId="38337AA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技术实施方案、服务方案、售后方案等</w:t>
      </w:r>
      <w:r>
        <w:rPr>
          <w:rFonts w:hint="eastAsia" w:ascii="宋体" w:hAnsi="宋体" w:eastAsia="宋体" w:cs="宋体"/>
          <w:color w:val="auto"/>
          <w:sz w:val="24"/>
          <w:szCs w:val="24"/>
          <w:highlight w:val="none"/>
        </w:rPr>
        <w:t>；</w:t>
      </w:r>
    </w:p>
    <w:p w14:paraId="6B697AC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应答表；</w:t>
      </w:r>
    </w:p>
    <w:p w14:paraId="5A212C1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投标人认为需要提供的文件和资料。</w:t>
      </w:r>
    </w:p>
    <w:p w14:paraId="296008B2">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14.2.3 商务部分。</w:t>
      </w:r>
      <w:r>
        <w:rPr>
          <w:rFonts w:hint="eastAsia" w:ascii="宋体" w:hAnsi="宋体" w:eastAsia="宋体" w:cs="宋体"/>
          <w:color w:val="auto"/>
          <w:sz w:val="24"/>
          <w:szCs w:val="24"/>
          <w:highlight w:val="none"/>
        </w:rPr>
        <w:t>投标人按照招标文件要求提供的有关文件及优惠承诺。</w:t>
      </w:r>
    </w:p>
    <w:p w14:paraId="579ED488">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包括以下内容（如涉及）：</w:t>
      </w:r>
    </w:p>
    <w:p w14:paraId="6B08EB69">
      <w:pPr>
        <w:numPr>
          <w:ilvl w:val="0"/>
          <w:numId w:val="3"/>
        </w:num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060038B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商务应答表；</w:t>
      </w:r>
    </w:p>
    <w:p w14:paraId="5A474EB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投标人基本情况表；</w:t>
      </w:r>
    </w:p>
    <w:p w14:paraId="77C9D14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投标人类似项目业绩一览表；</w:t>
      </w:r>
    </w:p>
    <w:p w14:paraId="730C428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投标人本项目拟任管理、技术、服务人员情况表；</w:t>
      </w:r>
    </w:p>
    <w:p w14:paraId="58C6129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投标人认为需要提供的文件和资料以及综合评分所需的材料。</w:t>
      </w:r>
    </w:p>
    <w:p w14:paraId="7741C4CF">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14.2.4 后续服务。</w:t>
      </w:r>
      <w:r>
        <w:rPr>
          <w:rFonts w:hint="eastAsia" w:ascii="宋体" w:hAnsi="宋体" w:eastAsia="宋体" w:cs="宋体"/>
          <w:color w:val="auto"/>
          <w:sz w:val="24"/>
          <w:szCs w:val="24"/>
          <w:highlight w:val="none"/>
        </w:rPr>
        <w:t>投标人按照招标文件中后续服务要求作出的积极响应和承诺。</w:t>
      </w:r>
    </w:p>
    <w:p w14:paraId="293C9E6F">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14.2.5 其他部分。</w:t>
      </w:r>
      <w:r>
        <w:rPr>
          <w:rFonts w:hint="eastAsia" w:ascii="宋体" w:hAnsi="宋体" w:eastAsia="宋体" w:cs="宋体"/>
          <w:color w:val="auto"/>
          <w:sz w:val="24"/>
          <w:szCs w:val="24"/>
          <w:highlight w:val="none"/>
        </w:rPr>
        <w:t>投标人按照招标文件要求作出的其他应答和承诺。</w:t>
      </w:r>
    </w:p>
    <w:p w14:paraId="5F0F1298">
      <w:pPr>
        <w:spacing w:line="240" w:lineRule="auto"/>
        <w:outlineLvl w:val="9"/>
        <w:rPr>
          <w:rFonts w:ascii="宋体" w:hAnsi="宋体" w:eastAsia="宋体" w:cs="宋体"/>
          <w:b/>
          <w:bCs/>
          <w:color w:val="auto"/>
          <w:sz w:val="24"/>
          <w:szCs w:val="24"/>
          <w:highlight w:val="none"/>
        </w:rPr>
      </w:pPr>
      <w:bookmarkStart w:id="49" w:name="_Toc20681"/>
      <w:bookmarkStart w:id="50" w:name="_Toc22129"/>
      <w:r>
        <w:rPr>
          <w:rFonts w:hint="eastAsia" w:ascii="宋体" w:hAnsi="宋体" w:eastAsia="宋体" w:cs="宋体"/>
          <w:b/>
          <w:bCs/>
          <w:color w:val="auto"/>
          <w:sz w:val="24"/>
          <w:szCs w:val="24"/>
          <w:highlight w:val="none"/>
        </w:rPr>
        <w:t>15.投标文件格式</w:t>
      </w:r>
      <w:bookmarkEnd w:id="49"/>
      <w:bookmarkEnd w:id="50"/>
    </w:p>
    <w:p w14:paraId="3B7C449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投标人应执行招标文件第三章的规定要求。</w:t>
      </w:r>
    </w:p>
    <w:p w14:paraId="16A13DD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 对于没有格式要求的投标文件由投标人自行编写。</w:t>
      </w:r>
    </w:p>
    <w:p w14:paraId="2B25F8DA">
      <w:pPr>
        <w:spacing w:line="240" w:lineRule="auto"/>
        <w:outlineLvl w:val="9"/>
        <w:rPr>
          <w:rFonts w:ascii="宋体" w:hAnsi="宋体" w:eastAsia="宋体" w:cs="宋体"/>
          <w:b/>
          <w:bCs/>
          <w:color w:val="auto"/>
          <w:sz w:val="24"/>
          <w:szCs w:val="24"/>
          <w:highlight w:val="none"/>
        </w:rPr>
      </w:pPr>
      <w:bookmarkStart w:id="51" w:name="_Toc17412"/>
      <w:bookmarkStart w:id="52" w:name="_Toc28121"/>
      <w:r>
        <w:rPr>
          <w:rFonts w:hint="eastAsia" w:ascii="宋体" w:hAnsi="宋体" w:eastAsia="宋体" w:cs="宋体"/>
          <w:b/>
          <w:bCs/>
          <w:color w:val="auto"/>
          <w:sz w:val="24"/>
          <w:szCs w:val="24"/>
          <w:highlight w:val="none"/>
        </w:rPr>
        <w:t>16.投标保证金 (实质性要求)</w:t>
      </w:r>
      <w:bookmarkEnd w:id="51"/>
      <w:bookmarkEnd w:id="52"/>
    </w:p>
    <w:p w14:paraId="46C5112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p w14:paraId="4F5FC2DF">
      <w:pPr>
        <w:spacing w:line="240" w:lineRule="auto"/>
        <w:outlineLvl w:val="9"/>
        <w:rPr>
          <w:rFonts w:ascii="宋体" w:hAnsi="宋体" w:eastAsia="宋体" w:cs="宋体"/>
          <w:b/>
          <w:bCs/>
          <w:color w:val="auto"/>
          <w:sz w:val="24"/>
          <w:szCs w:val="24"/>
          <w:highlight w:val="none"/>
        </w:rPr>
      </w:pPr>
      <w:bookmarkStart w:id="53" w:name="_Toc32075"/>
      <w:bookmarkStart w:id="54" w:name="_Toc30177"/>
      <w:r>
        <w:rPr>
          <w:rFonts w:hint="eastAsia" w:ascii="宋体" w:hAnsi="宋体" w:eastAsia="宋体" w:cs="宋体"/>
          <w:b/>
          <w:bCs/>
          <w:color w:val="auto"/>
          <w:sz w:val="24"/>
          <w:szCs w:val="24"/>
          <w:highlight w:val="none"/>
        </w:rPr>
        <w:t>17.投标有效期 (实质性要求)</w:t>
      </w:r>
      <w:bookmarkEnd w:id="53"/>
      <w:bookmarkEnd w:id="54"/>
    </w:p>
    <w:p w14:paraId="270946D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 </w:t>
      </w:r>
      <w:r>
        <w:rPr>
          <w:rFonts w:hint="eastAsia" w:ascii="宋体" w:hAnsi="宋体" w:eastAsia="宋体" w:cs="宋体"/>
          <w:b/>
          <w:bCs/>
          <w:color w:val="auto"/>
          <w:sz w:val="24"/>
          <w:szCs w:val="24"/>
          <w:highlight w:val="none"/>
        </w:rPr>
        <w:t>本项目投标有效期为投标截止之日起90天</w:t>
      </w:r>
      <w:r>
        <w:rPr>
          <w:rFonts w:hint="eastAsia" w:ascii="宋体" w:hAnsi="宋体" w:eastAsia="宋体" w:cs="宋体"/>
          <w:color w:val="auto"/>
          <w:sz w:val="24"/>
          <w:szCs w:val="24"/>
          <w:highlight w:val="none"/>
        </w:rPr>
        <w:t>。投标人投标文件中必须载明投标有效期，投标文件中载明的投标有效期可以长于招标文件规定的期限，但不得短于招标文件规定的期限。否则，其投标文件将作为无效投标处理。</w:t>
      </w:r>
    </w:p>
    <w:p w14:paraId="5806DEE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事件，招标人可于投标有效期届满之前与投标人协商延长投标有效期。投标人拒绝延长投标有效期的，不得再参与该项目后续采购活动，但由此给投标人造成的损失，招标人可以自主决定是否可以给予适当补偿。投标人同意延长投标有效期的，不能修改投标文件。</w:t>
      </w:r>
    </w:p>
    <w:p w14:paraId="20330FD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 因招标人采购需求作出必要调整，招标人可于投标有效期届满之前与投标人协商延长投标有效期。投标人拒绝延长投标有效期的，不得再参与该项目后续采购活动，但由此给投标人造成的损失，招标人应当予以赔偿或者合理补偿。投标人同意延长投标有效期的，不能修改投标文件。</w:t>
      </w:r>
    </w:p>
    <w:p w14:paraId="4ED33E1A">
      <w:pPr>
        <w:spacing w:line="240" w:lineRule="auto"/>
        <w:outlineLvl w:val="9"/>
        <w:rPr>
          <w:rFonts w:ascii="宋体" w:hAnsi="宋体" w:eastAsia="宋体" w:cs="宋体"/>
          <w:b/>
          <w:bCs/>
          <w:color w:val="auto"/>
          <w:sz w:val="24"/>
          <w:szCs w:val="24"/>
          <w:highlight w:val="none"/>
        </w:rPr>
      </w:pPr>
      <w:bookmarkStart w:id="55" w:name="_Toc4045"/>
      <w:bookmarkStart w:id="56" w:name="_Toc2789"/>
      <w:r>
        <w:rPr>
          <w:rFonts w:hint="eastAsia" w:ascii="宋体" w:hAnsi="宋体" w:eastAsia="宋体" w:cs="宋体"/>
          <w:b/>
          <w:bCs/>
          <w:color w:val="auto"/>
          <w:sz w:val="24"/>
          <w:szCs w:val="24"/>
          <w:highlight w:val="none"/>
        </w:rPr>
        <w:t>18.投标文件的印制和签署</w:t>
      </w:r>
      <w:bookmarkEnd w:id="55"/>
      <w:bookmarkEnd w:id="56"/>
    </w:p>
    <w:p w14:paraId="00EAFC19">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投标文件分为“资格性投标文件”和“其他响应性投标文件”两部分。</w:t>
      </w:r>
    </w:p>
    <w:p w14:paraId="0B4AE36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18.2 </w:t>
      </w:r>
      <w:r>
        <w:rPr>
          <w:rFonts w:hint="eastAsia" w:ascii="宋体" w:hAnsi="宋体" w:eastAsia="宋体" w:cs="宋体"/>
          <w:b/>
          <w:bCs/>
          <w:color w:val="auto"/>
          <w:sz w:val="24"/>
          <w:szCs w:val="24"/>
          <w:highlight w:val="none"/>
        </w:rPr>
        <w:t>资格性投标文件正本1份副本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，并在其封面上清楚地标明资格性投标文件、项目名称、项目编号、投标人名称以 及“正本”或“副本”字样。若正本和副本有不一致的内容，以正本书面投标文件为准。</w:t>
      </w:r>
    </w:p>
    <w:p w14:paraId="2D841EE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 </w:t>
      </w:r>
      <w:r>
        <w:rPr>
          <w:rFonts w:hint="eastAsia" w:ascii="宋体" w:hAnsi="宋体" w:eastAsia="宋体" w:cs="宋体"/>
          <w:b/>
          <w:bCs/>
          <w:color w:val="auto"/>
          <w:sz w:val="24"/>
          <w:szCs w:val="24"/>
          <w:highlight w:val="none"/>
        </w:rPr>
        <w:t>其他响应性投标文件正本1份副本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，并在其封面上清楚地标明其他响应性投标文件、项目名称、项目编号、投标人名称以及“正本”或“副本”字样。若正本和副本有不一致的内容，以正本书面投标文件为准。</w:t>
      </w:r>
    </w:p>
    <w:p w14:paraId="508078C9">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投标人编制的其他响应性投标文件正本中应当包含投标函、开标一览表等内容。</w:t>
      </w:r>
    </w:p>
    <w:p w14:paraId="5D57E41B">
      <w:pPr>
        <w:pStyle w:val="14"/>
        <w:spacing w:after="0"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
          <w:bCs/>
          <w:color w:val="auto"/>
          <w:sz w:val="24"/>
          <w:szCs w:val="24"/>
          <w:highlight w:val="none"/>
        </w:rPr>
        <w:t>“电子文档”1份</w:t>
      </w:r>
      <w:r>
        <w:rPr>
          <w:rFonts w:hint="eastAsia" w:ascii="宋体" w:hAnsi="宋体" w:eastAsia="宋体" w:cs="宋体"/>
          <w:color w:val="auto"/>
          <w:sz w:val="24"/>
          <w:szCs w:val="24"/>
          <w:highlight w:val="none"/>
        </w:rPr>
        <w:t>（电子文档</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采用U盘制作包括资格性投标文件</w:t>
      </w:r>
      <w:r>
        <w:rPr>
          <w:rFonts w:hint="eastAsia" w:ascii="宋体" w:hAnsi="宋体" w:eastAsia="宋体" w:cs="宋体"/>
          <w:color w:val="auto"/>
          <w:sz w:val="24"/>
          <w:szCs w:val="24"/>
          <w:highlight w:val="none"/>
          <w:lang w:eastAsia="zh-CN"/>
        </w:rPr>
        <w:t>和其他</w:t>
      </w:r>
      <w:r>
        <w:rPr>
          <w:rFonts w:hint="eastAsia" w:ascii="宋体" w:hAnsi="宋体" w:eastAsia="宋体" w:cs="宋体"/>
          <w:color w:val="auto"/>
          <w:sz w:val="24"/>
          <w:szCs w:val="24"/>
          <w:highlight w:val="none"/>
        </w:rPr>
        <w:t>响应性投标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，电子文档和递交的纸质文件完全一致）。</w:t>
      </w:r>
    </w:p>
    <w:p w14:paraId="1891BD23">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8</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 xml:space="preserve"> 投标文件的正本和副本均需打印或用不褪色、不变质的墨水书写，并由投标人的法定代表人(负责人)或其授权代表在规定签章处签字或盖章 </w:t>
      </w:r>
      <w:r>
        <w:rPr>
          <w:rFonts w:hint="eastAsia" w:ascii="宋体" w:hAnsi="宋体" w:eastAsia="宋体" w:cs="宋体"/>
          <w:b/>
          <w:bCs/>
          <w:color w:val="auto"/>
          <w:sz w:val="24"/>
          <w:szCs w:val="24"/>
          <w:highlight w:val="none"/>
        </w:rPr>
        <w:t xml:space="preserve">(要求加盖公章的地方加盖单位公章，不得使用专用章(如经济合同章、投标专用章等)或下属单位印章代替) </w:t>
      </w:r>
      <w:r>
        <w:rPr>
          <w:rFonts w:ascii="宋体" w:hAnsi="宋体" w:eastAsia="宋体" w:cs="宋体"/>
          <w:color w:val="auto"/>
          <w:sz w:val="24"/>
          <w:szCs w:val="24"/>
          <w:highlight w:val="none"/>
        </w:rPr>
        <w:t>。投标文件副本可采用正本的复印件。</w:t>
      </w:r>
    </w:p>
    <w:p w14:paraId="6A04685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投标文件的打印和书写应清楚工整，任何行间插字、涂改或增删，</w:t>
      </w:r>
      <w:r>
        <w:rPr>
          <w:rFonts w:hint="eastAsia" w:ascii="宋体" w:hAnsi="宋体" w:eastAsia="宋体" w:cs="宋体"/>
          <w:b/>
          <w:bCs/>
          <w:color w:val="auto"/>
          <w:sz w:val="24"/>
          <w:szCs w:val="24"/>
          <w:highlight w:val="none"/>
        </w:rPr>
        <w:t>必须由投标人的法定代表人(负责人)或其授权代表签字或盖个人印鉴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（实质性要求）</w:t>
      </w:r>
    </w:p>
    <w:p w14:paraId="37F6769E">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投标文件正本和副本应当采取胶装方式装订成册，不得散装或者活页装订。</w:t>
      </w:r>
    </w:p>
    <w:p w14:paraId="1E4729D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投标文件应根据招标文件的要求制作，签署、盖章和内容应完整。</w:t>
      </w:r>
    </w:p>
    <w:p w14:paraId="38C0579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投标文件统一用A4幅面纸印制，逐页编码。</w:t>
      </w:r>
    </w:p>
    <w:p w14:paraId="353EFAC1">
      <w:pPr>
        <w:spacing w:line="240" w:lineRule="auto"/>
        <w:ind w:firstLine="241" w:firstLineChars="100"/>
        <w:rPr>
          <w:color w:val="auto"/>
          <w:sz w:val="24"/>
          <w:szCs w:val="24"/>
          <w:highlight w:val="none"/>
        </w:rPr>
      </w:pPr>
      <w:r>
        <w:rPr>
          <w:rFonts w:hint="eastAsia" w:ascii="宋体" w:hAnsi="宋体" w:eastAsia="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rPr>
        <w:t>《关于促进政府采购公平竞争优化营商环境的通知》(财库〔2019〕38号)不得因装订、纸张、文件排序等非实质性的格式、形式问题限制和影响供应商投标。</w:t>
      </w:r>
    </w:p>
    <w:p w14:paraId="48B6AB66">
      <w:pPr>
        <w:spacing w:line="240" w:lineRule="auto"/>
        <w:outlineLvl w:val="9"/>
        <w:rPr>
          <w:rFonts w:ascii="宋体" w:hAnsi="宋体" w:eastAsia="宋体" w:cs="宋体"/>
          <w:b/>
          <w:bCs/>
          <w:color w:val="auto"/>
          <w:sz w:val="24"/>
          <w:szCs w:val="24"/>
          <w:highlight w:val="none"/>
        </w:rPr>
      </w:pPr>
      <w:bookmarkStart w:id="57" w:name="_Toc14198"/>
      <w:bookmarkStart w:id="58" w:name="_Toc31984"/>
      <w:r>
        <w:rPr>
          <w:rFonts w:hint="eastAsia" w:ascii="宋体" w:hAnsi="宋体" w:eastAsia="宋体" w:cs="宋体"/>
          <w:b/>
          <w:bCs/>
          <w:color w:val="auto"/>
          <w:sz w:val="24"/>
          <w:szCs w:val="24"/>
          <w:highlight w:val="none"/>
        </w:rPr>
        <w:t>19.投标文件的密封和标注</w:t>
      </w:r>
      <w:bookmarkEnd w:id="57"/>
      <w:bookmarkEnd w:id="58"/>
    </w:p>
    <w:p w14:paraId="06AF5B7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投标人应在投标文件正本和所有副本的封面上注明投标人名称、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、项目名称。</w:t>
      </w:r>
    </w:p>
    <w:p w14:paraId="2033CB6D">
      <w:pPr>
        <w:spacing w:line="24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19.2 投标文件包括正本、副本、电子文档和</w:t>
      </w:r>
      <w:r>
        <w:rPr>
          <w:rFonts w:hint="eastAsia" w:ascii="宋体" w:hAnsi="宋体" w:eastAsia="宋体" w:cs="宋体"/>
          <w:b/>
          <w:bCs/>
          <w:color w:val="auto"/>
          <w:sz w:val="24"/>
          <w:szCs w:val="24"/>
          <w:highlight w:val="none"/>
        </w:rPr>
        <w:t>用于开标唱标单独提交的“开标一览表”，应分别封装于不同的密封袋内</w:t>
      </w:r>
      <w:r>
        <w:rPr>
          <w:rFonts w:hint="eastAsia" w:ascii="宋体" w:hAnsi="宋体" w:eastAsia="宋体" w:cs="宋体"/>
          <w:color w:val="auto"/>
          <w:sz w:val="24"/>
          <w:szCs w:val="24"/>
          <w:highlight w:val="none"/>
        </w:rPr>
        <w:t>，密封袋上应分别标上“正本”、“副本”、“开标一览表”字样,并注明投标人名称、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、项目名称。</w:t>
      </w:r>
      <w:r>
        <w:rPr>
          <w:rFonts w:hint="eastAsia" w:ascii="宋体" w:hAnsi="宋体" w:eastAsia="宋体" w:cs="宋体"/>
          <w:b/>
          <w:bCs/>
          <w:color w:val="auto"/>
          <w:sz w:val="24"/>
          <w:szCs w:val="24"/>
          <w:highlight w:val="none"/>
          <w:lang w:val="en-US" w:eastAsia="zh-CN"/>
        </w:rPr>
        <w:t>本项目不涉及</w:t>
      </w:r>
      <w:r>
        <w:rPr>
          <w:rFonts w:hint="eastAsia" w:ascii="宋体" w:hAnsi="宋体" w:eastAsia="宋体" w:cs="宋体"/>
          <w:b/>
          <w:bCs/>
          <w:color w:val="auto"/>
          <w:sz w:val="24"/>
          <w:szCs w:val="24"/>
          <w:highlight w:val="none"/>
        </w:rPr>
        <w:t>“开标一览表”</w:t>
      </w:r>
      <w:r>
        <w:rPr>
          <w:rFonts w:hint="eastAsia" w:ascii="宋体" w:hAnsi="宋体" w:eastAsia="宋体" w:cs="宋体"/>
          <w:b/>
          <w:bCs/>
          <w:color w:val="auto"/>
          <w:sz w:val="24"/>
          <w:szCs w:val="24"/>
          <w:highlight w:val="none"/>
          <w:lang w:eastAsia="zh-CN"/>
        </w:rPr>
        <w:t>。</w:t>
      </w:r>
    </w:p>
    <w:p w14:paraId="0167EA5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所有外层密封袋的封口处应粘贴牢固，并加盖密封章(投标人公章) 。</w:t>
      </w:r>
    </w:p>
    <w:p w14:paraId="5C1E192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b/>
          <w:bCs/>
          <w:color w:val="auto"/>
          <w:sz w:val="24"/>
          <w:szCs w:val="24"/>
          <w:highlight w:val="none"/>
        </w:rPr>
        <w:t>未按要求进行密封的投标文件将被拒收或者在时间允许的范围内(投标截止时间前)，要求修改完善后接收。</w:t>
      </w:r>
    </w:p>
    <w:p w14:paraId="23D69004">
      <w:pPr>
        <w:spacing w:line="240" w:lineRule="auto"/>
        <w:outlineLvl w:val="9"/>
        <w:rPr>
          <w:color w:val="auto"/>
          <w:sz w:val="24"/>
          <w:szCs w:val="24"/>
          <w:highlight w:val="none"/>
        </w:rPr>
      </w:pPr>
      <w:bookmarkStart w:id="59" w:name="_Toc26758"/>
      <w:bookmarkStart w:id="60" w:name="_Toc22039"/>
      <w:r>
        <w:rPr>
          <w:rFonts w:hint="eastAsia" w:ascii="宋体" w:hAnsi="宋体" w:eastAsia="宋体" w:cs="宋体"/>
          <w:b/>
          <w:bCs/>
          <w:color w:val="auto"/>
          <w:sz w:val="24"/>
          <w:szCs w:val="24"/>
          <w:highlight w:val="none"/>
        </w:rPr>
        <w:t>20.投标文件的递交</w:t>
      </w:r>
      <w:bookmarkEnd w:id="59"/>
      <w:bookmarkEnd w:id="60"/>
    </w:p>
    <w:p w14:paraId="46A35EE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14:paraId="173DF42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 递交投标文件时，报名供应商名称和招标文件的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应当与投标供应商名称和招标文件的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一致。但是，投标文件实质内容报名供应商名称和招标文件的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一致，只是封面文字错误的，可以在评标过程中当面予以澄清，以有效的澄清材料作为认定投标文件是否有效的依据。</w:t>
      </w:r>
    </w:p>
    <w:p w14:paraId="0E0325A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20.3 本次招标不接收邮寄的投标文件。</w:t>
      </w:r>
    </w:p>
    <w:p w14:paraId="01052F0D">
      <w:pPr>
        <w:spacing w:line="240" w:lineRule="auto"/>
        <w:outlineLvl w:val="9"/>
        <w:rPr>
          <w:rFonts w:ascii="宋体" w:hAnsi="宋体" w:eastAsia="宋体" w:cs="宋体"/>
          <w:b/>
          <w:bCs/>
          <w:color w:val="auto"/>
          <w:sz w:val="24"/>
          <w:szCs w:val="24"/>
          <w:highlight w:val="none"/>
        </w:rPr>
      </w:pPr>
      <w:bookmarkStart w:id="61" w:name="_Toc24550"/>
      <w:bookmarkStart w:id="62" w:name="_Toc8626"/>
      <w:r>
        <w:rPr>
          <w:rFonts w:hint="eastAsia" w:ascii="宋体" w:hAnsi="宋体" w:eastAsia="宋体" w:cs="宋体"/>
          <w:b/>
          <w:bCs/>
          <w:color w:val="auto"/>
          <w:sz w:val="24"/>
          <w:szCs w:val="24"/>
          <w:highlight w:val="none"/>
        </w:rPr>
        <w:t>21.投标文件的修改和撤回</w:t>
      </w:r>
      <w:bookmarkEnd w:id="61"/>
      <w:bookmarkEnd w:id="62"/>
    </w:p>
    <w:p w14:paraId="2949499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投标人在递交了投标文件后，可以修改或撤回其投标文件，但必须在规定的投标截止时间前，以书面形式通知招标代理机构。</w:t>
      </w:r>
    </w:p>
    <w:p w14:paraId="33BC81F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投标人的修改书或撤回通知书，应由其法定代表人/单位负责人或授权代表签署并盖单位印章。修改书应按投标须知第19条规定进行密封和标注，并在密封袋上标注“修改”字样。</w:t>
      </w:r>
    </w:p>
    <w:p w14:paraId="337ABDDC">
      <w:pPr>
        <w:spacing w:line="240" w:lineRule="auto"/>
        <w:ind w:firstLine="240" w:firstLineChars="100"/>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21.3 在投标截止时间之后，投标人不得对其递交的投标文件</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任何修改，撤销投标的，将按照有关规定进行相应处理。</w:t>
      </w:r>
    </w:p>
    <w:p w14:paraId="4D519110">
      <w:pPr>
        <w:spacing w:line="240" w:lineRule="auto"/>
        <w:ind w:firstLine="622" w:firstLineChars="200"/>
        <w:jc w:val="center"/>
        <w:outlineLvl w:val="1"/>
        <w:rPr>
          <w:rFonts w:ascii="宋体" w:hAnsi="宋体" w:eastAsia="宋体" w:cs="宋体"/>
          <w:b/>
          <w:bCs/>
          <w:color w:val="auto"/>
          <w:sz w:val="31"/>
          <w:szCs w:val="31"/>
          <w:highlight w:val="none"/>
        </w:rPr>
      </w:pPr>
      <w:bookmarkStart w:id="63" w:name="_Toc3837"/>
      <w:bookmarkStart w:id="64" w:name="_Toc22870"/>
      <w:r>
        <w:rPr>
          <w:rFonts w:hint="eastAsia" w:ascii="宋体" w:hAnsi="宋体" w:eastAsia="宋体" w:cs="宋体"/>
          <w:b/>
          <w:bCs/>
          <w:color w:val="auto"/>
          <w:sz w:val="31"/>
          <w:szCs w:val="31"/>
          <w:highlight w:val="none"/>
        </w:rPr>
        <w:t>五、开标和中标</w:t>
      </w:r>
      <w:bookmarkEnd w:id="63"/>
      <w:bookmarkEnd w:id="64"/>
    </w:p>
    <w:p w14:paraId="4E7AA7BA">
      <w:pPr>
        <w:spacing w:line="240" w:lineRule="auto"/>
        <w:outlineLvl w:val="9"/>
        <w:rPr>
          <w:rFonts w:hint="eastAsia" w:ascii="宋体" w:hAnsi="宋体" w:eastAsia="宋体" w:cs="宋体"/>
          <w:b/>
          <w:bCs/>
          <w:color w:val="auto"/>
          <w:sz w:val="24"/>
          <w:szCs w:val="24"/>
          <w:highlight w:val="none"/>
          <w:lang w:eastAsia="zh-CN"/>
        </w:rPr>
      </w:pPr>
      <w:bookmarkStart w:id="65" w:name="_Toc4256"/>
      <w:bookmarkStart w:id="66" w:name="_Toc29236"/>
      <w:r>
        <w:rPr>
          <w:rFonts w:hint="eastAsia" w:ascii="宋体" w:hAnsi="宋体" w:eastAsia="宋体" w:cs="宋体"/>
          <w:b/>
          <w:bCs/>
          <w:color w:val="auto"/>
          <w:sz w:val="24"/>
          <w:szCs w:val="24"/>
          <w:highlight w:val="none"/>
        </w:rPr>
        <w:t>22.开标</w:t>
      </w:r>
      <w:bookmarkEnd w:id="65"/>
      <w:bookmarkEnd w:id="66"/>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本项目不涉及唱标</w:t>
      </w:r>
      <w:r>
        <w:rPr>
          <w:rFonts w:hint="eastAsia" w:ascii="宋体" w:hAnsi="宋体" w:eastAsia="宋体" w:cs="宋体"/>
          <w:b/>
          <w:bCs/>
          <w:color w:val="auto"/>
          <w:sz w:val="24"/>
          <w:szCs w:val="24"/>
          <w:highlight w:val="none"/>
          <w:lang w:eastAsia="zh-CN"/>
        </w:rPr>
        <w:t>）</w:t>
      </w:r>
    </w:p>
    <w:p w14:paraId="354E2B0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开标在招标文件规定的时间和地点公开进行，招标人、投标人须派代表参加并签到以证明其出席（没有派代表参加开标活动视为认同开标结果）。开标由招标代理机构主持，邀请招标人、投标人代表参加。评标委员会成员不参加开标活动。</w:t>
      </w:r>
    </w:p>
    <w:p w14:paraId="368DB5C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开标时，可根据具体情况邀请有关监督管理部门对开标活动进行现场监督。</w:t>
      </w:r>
    </w:p>
    <w:p w14:paraId="3A51772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14:paraId="46F409F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63A62B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14:paraId="00924ED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投标文件中相关内容与“开标一览表”不一致的，以“开标一览表”为准。对不同文字文本投标文件的解释发生异议的，以中文文本为准。</w:t>
      </w:r>
    </w:p>
    <w:p w14:paraId="3532D11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22.6 所有投标唱标完毕，如投标人代表对宣读的“开标一览表”上的内容有异议的，应在获得开标会主持人同意后当场提出。如确实属于唱标人员宣读错了的，经现场监督人员核实后，当场予以更正。</w:t>
      </w:r>
    </w:p>
    <w:p w14:paraId="44FF229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22.7 投标人不足3家的，不得开标。</w:t>
      </w:r>
    </w:p>
    <w:p w14:paraId="1ED2ED3B">
      <w:pPr>
        <w:spacing w:line="240" w:lineRule="auto"/>
        <w:outlineLvl w:val="9"/>
        <w:rPr>
          <w:rFonts w:ascii="宋体" w:hAnsi="宋体" w:eastAsia="宋体" w:cs="宋体"/>
          <w:b/>
          <w:bCs/>
          <w:color w:val="auto"/>
          <w:sz w:val="24"/>
          <w:szCs w:val="24"/>
          <w:highlight w:val="none"/>
        </w:rPr>
      </w:pPr>
      <w:bookmarkStart w:id="67" w:name="_Toc1890"/>
      <w:bookmarkStart w:id="68" w:name="_Toc29751"/>
      <w:r>
        <w:rPr>
          <w:rFonts w:hint="eastAsia" w:ascii="宋体" w:hAnsi="宋体" w:eastAsia="宋体" w:cs="宋体"/>
          <w:b/>
          <w:bCs/>
          <w:color w:val="auto"/>
          <w:sz w:val="24"/>
          <w:szCs w:val="24"/>
          <w:highlight w:val="none"/>
        </w:rPr>
        <w:t>23.开标程序</w:t>
      </w:r>
      <w:bookmarkEnd w:id="67"/>
      <w:bookmarkEnd w:id="68"/>
    </w:p>
    <w:p w14:paraId="4B1994E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开标会主持人按照招标文件规定的开标时间宣布开标，按照规定要求主持开标会。开标将按以下程序进行：</w:t>
      </w:r>
    </w:p>
    <w:p w14:paraId="41AF7E5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宣布开标会开始。当众宣布参加开标会主持人、唱标人、会议记录人以及根据情况邀请的现场监督人等工作人员，根据“投标人签到表”宣布参加投标的投标人名单。</w:t>
      </w:r>
    </w:p>
    <w:p w14:paraId="4B07392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根据投标人或者其推选的代表对投标文件密封的检查结果，当众宣布</w:t>
      </w:r>
      <w:r>
        <w:rPr>
          <w:rFonts w:ascii="宋体" w:hAnsi="宋体" w:eastAsia="宋体" w:cs="宋体"/>
          <w:color w:val="auto"/>
          <w:sz w:val="24"/>
          <w:szCs w:val="24"/>
          <w:highlight w:val="none"/>
        </w:rPr>
        <w:t>投标文件的密封情况。</w:t>
      </w:r>
    </w:p>
    <w:p w14:paraId="22C19BF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开标唱标。主持人宣布开标后，由现场工作人员按任意顺序对投标人的“开标一览表”当众进行拆封，由唱标人员宣读投标人名称、投标价格(价格折扣) 。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 会议记录人在开标记录中予以记录，或者另行提供书面异议资料，不签字又不提出异议的，视同认可唱标内容和结果，且不得干扰、阻挠开(唱)标、评标工作。</w:t>
      </w:r>
    </w:p>
    <w:p w14:paraId="11611B8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招标投标公共服务平台（http://www.cebpubservice.com/）上查询。</w:t>
      </w:r>
    </w:p>
    <w:p w14:paraId="19616D75">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投标人未参加开标的，视同认可开标结果。</w:t>
      </w:r>
    </w:p>
    <w:p w14:paraId="205EA8A8">
      <w:pPr>
        <w:spacing w:line="240" w:lineRule="auto"/>
        <w:outlineLvl w:val="9"/>
        <w:rPr>
          <w:rFonts w:ascii="宋体" w:hAnsi="宋体" w:eastAsia="宋体" w:cs="宋体"/>
          <w:b/>
          <w:bCs/>
          <w:color w:val="auto"/>
          <w:sz w:val="24"/>
          <w:szCs w:val="24"/>
          <w:highlight w:val="none"/>
        </w:rPr>
      </w:pPr>
      <w:bookmarkStart w:id="69" w:name="_Toc9321"/>
      <w:bookmarkStart w:id="70" w:name="_Toc30446"/>
      <w:r>
        <w:rPr>
          <w:rFonts w:hint="eastAsia" w:ascii="宋体" w:hAnsi="宋体" w:eastAsia="宋体" w:cs="宋体"/>
          <w:b/>
          <w:bCs/>
          <w:color w:val="auto"/>
          <w:sz w:val="24"/>
          <w:szCs w:val="24"/>
          <w:highlight w:val="none"/>
        </w:rPr>
        <w:t>24.开评标过程存档</w:t>
      </w:r>
      <w:bookmarkEnd w:id="69"/>
      <w:bookmarkEnd w:id="70"/>
    </w:p>
    <w:p w14:paraId="05147741">
      <w:pPr>
        <w:spacing w:before="75" w:line="240" w:lineRule="auto"/>
        <w:ind w:left="24"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开标和评标过程进行全过程电子监控，并将电子监控资料存储介质留存归档。</w:t>
      </w:r>
    </w:p>
    <w:p w14:paraId="7D3BF09E">
      <w:pPr>
        <w:spacing w:line="240" w:lineRule="auto"/>
        <w:outlineLvl w:val="9"/>
        <w:rPr>
          <w:rFonts w:ascii="宋体" w:hAnsi="宋体" w:eastAsia="宋体" w:cs="宋体"/>
          <w:b/>
          <w:bCs/>
          <w:color w:val="auto"/>
          <w:sz w:val="24"/>
          <w:szCs w:val="24"/>
          <w:highlight w:val="none"/>
        </w:rPr>
      </w:pPr>
      <w:bookmarkStart w:id="71" w:name="_Toc28605"/>
      <w:bookmarkStart w:id="72" w:name="_Toc20820"/>
      <w:r>
        <w:rPr>
          <w:rFonts w:hint="eastAsia" w:ascii="宋体" w:hAnsi="宋体" w:eastAsia="宋体" w:cs="宋体"/>
          <w:b/>
          <w:bCs/>
          <w:color w:val="auto"/>
          <w:sz w:val="24"/>
          <w:szCs w:val="24"/>
          <w:highlight w:val="none"/>
        </w:rPr>
        <w:t>25.资格审查</w:t>
      </w:r>
      <w:bookmarkEnd w:id="71"/>
      <w:bookmarkEnd w:id="72"/>
    </w:p>
    <w:p w14:paraId="4EC0D33A">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招标人或者招标代理机构依据法律法规和本招标文件的规定，对投标文件是否按照规定要求提供资格性证明材料、是否属于禁止参加投标的供应商等进行审查，以确定投标供应商是否具备投标资格。</w:t>
      </w:r>
    </w:p>
    <w:p w14:paraId="54FD389B">
      <w:pPr>
        <w:spacing w:line="240" w:lineRule="auto"/>
        <w:outlineLvl w:val="9"/>
        <w:rPr>
          <w:rFonts w:ascii="宋体" w:hAnsi="宋体" w:eastAsia="宋体" w:cs="宋体"/>
          <w:b/>
          <w:bCs/>
          <w:color w:val="auto"/>
          <w:sz w:val="24"/>
          <w:szCs w:val="24"/>
          <w:highlight w:val="none"/>
        </w:rPr>
      </w:pPr>
      <w:bookmarkStart w:id="73" w:name="_Toc9764"/>
      <w:bookmarkStart w:id="74" w:name="_Toc12670"/>
      <w:r>
        <w:rPr>
          <w:rFonts w:hint="eastAsia" w:ascii="宋体" w:hAnsi="宋体" w:eastAsia="宋体" w:cs="宋体"/>
          <w:b/>
          <w:bCs/>
          <w:color w:val="auto"/>
          <w:sz w:val="24"/>
          <w:szCs w:val="24"/>
          <w:highlight w:val="none"/>
        </w:rPr>
        <w:t>26.评标情况公告</w:t>
      </w:r>
      <w:bookmarkEnd w:id="73"/>
      <w:bookmarkEnd w:id="74"/>
    </w:p>
    <w:p w14:paraId="0AA481C5">
      <w:pPr>
        <w:spacing w:line="240" w:lineRule="auto"/>
        <w:ind w:firstLine="480" w:firstLineChars="200"/>
        <w:outlineLvl w:val="9"/>
        <w:rPr>
          <w:rFonts w:ascii="宋体" w:hAnsi="宋体" w:eastAsia="宋体" w:cs="宋体"/>
          <w:color w:val="auto"/>
          <w:sz w:val="24"/>
          <w:szCs w:val="24"/>
          <w:highlight w:val="none"/>
        </w:rPr>
      </w:pPr>
      <w:bookmarkStart w:id="75" w:name="_Toc31460"/>
      <w:bookmarkStart w:id="76" w:name="_Toc15851"/>
      <w:r>
        <w:rPr>
          <w:rFonts w:hint="eastAsia" w:ascii="宋体" w:hAnsi="宋体" w:eastAsia="宋体" w:cs="宋体"/>
          <w:color w:val="auto"/>
          <w:sz w:val="24"/>
          <w:szCs w:val="24"/>
          <w:highlight w:val="none"/>
        </w:rPr>
        <w:t>评标结果将在中国招标投标公共服务平台（http://www.cebpubservice.com/）上采购结果公告栏中予以公告。</w:t>
      </w:r>
      <w:bookmarkEnd w:id="75"/>
      <w:bookmarkEnd w:id="76"/>
    </w:p>
    <w:p w14:paraId="2CD1AB05">
      <w:pPr>
        <w:spacing w:line="240" w:lineRule="auto"/>
        <w:outlineLvl w:val="9"/>
        <w:rPr>
          <w:rFonts w:ascii="宋体" w:hAnsi="宋体" w:eastAsia="宋体" w:cs="宋体"/>
          <w:b/>
          <w:bCs/>
          <w:color w:val="auto"/>
          <w:sz w:val="24"/>
          <w:szCs w:val="24"/>
          <w:highlight w:val="none"/>
        </w:rPr>
      </w:pPr>
      <w:bookmarkStart w:id="77" w:name="_Toc17782"/>
      <w:bookmarkStart w:id="78" w:name="_Toc11479"/>
      <w:r>
        <w:rPr>
          <w:rFonts w:hint="eastAsia" w:ascii="宋体" w:hAnsi="宋体" w:eastAsia="宋体" w:cs="宋体"/>
          <w:b/>
          <w:bCs/>
          <w:color w:val="auto"/>
          <w:sz w:val="24"/>
          <w:szCs w:val="24"/>
          <w:highlight w:val="none"/>
        </w:rPr>
        <w:t>27.中标通知书</w:t>
      </w:r>
      <w:bookmarkEnd w:id="77"/>
      <w:bookmarkEnd w:id="78"/>
    </w:p>
    <w:p w14:paraId="5B11638D">
      <w:pPr>
        <w:spacing w:line="240" w:lineRule="auto"/>
        <w:ind w:firstLine="480" w:firstLineChars="200"/>
        <w:outlineLvl w:val="9"/>
        <w:rPr>
          <w:rFonts w:ascii="宋体" w:hAnsi="宋体" w:eastAsia="宋体" w:cs="宋体"/>
          <w:color w:val="auto"/>
          <w:sz w:val="24"/>
          <w:szCs w:val="24"/>
          <w:highlight w:val="none"/>
        </w:rPr>
      </w:pPr>
      <w:bookmarkStart w:id="79" w:name="_Toc14648"/>
      <w:bookmarkStart w:id="80" w:name="_Toc4779"/>
      <w:r>
        <w:rPr>
          <w:rFonts w:hint="eastAsia" w:ascii="宋体" w:hAnsi="宋体" w:eastAsia="宋体" w:cs="宋体"/>
          <w:color w:val="auto"/>
          <w:sz w:val="24"/>
          <w:szCs w:val="24"/>
          <w:highlight w:val="none"/>
        </w:rPr>
        <w:t>27.1 中标通知书为签订采购合同的依据之一，是合同的有效组成部分。</w:t>
      </w:r>
      <w:bookmarkEnd w:id="79"/>
      <w:bookmarkEnd w:id="80"/>
    </w:p>
    <w:p w14:paraId="28AB586F">
      <w:pPr>
        <w:spacing w:line="240" w:lineRule="auto"/>
        <w:ind w:left="22" w:right="13"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 中标通知书对</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和中标人均具有法律效力。中标通知书发出后，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改变中标结果，或者中标人无正当理由放弃中标的，应当承担相应的法律责任。</w:t>
      </w:r>
    </w:p>
    <w:p w14:paraId="1B50F20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r>
        <w:rPr>
          <w:rFonts w:ascii="宋体" w:hAnsi="宋体" w:eastAsia="宋体" w:cs="宋体"/>
          <w:color w:val="auto"/>
          <w:sz w:val="24"/>
          <w:szCs w:val="24"/>
          <w:highlight w:val="none"/>
        </w:rPr>
        <w:t xml:space="preserve">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0FA7DB75">
      <w:pPr>
        <w:spacing w:before="3" w:line="240" w:lineRule="auto"/>
        <w:ind w:left="23" w:right="13"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中标公告发出后，中标人自行领取中标通知书的，可凭有效身份证明证件到</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领取中标通知书</w:t>
      </w:r>
      <w:r>
        <w:rPr>
          <w:rFonts w:hint="eastAsia" w:ascii="宋体" w:hAnsi="宋体" w:eastAsia="宋体" w:cs="宋体"/>
          <w:color w:val="auto"/>
          <w:sz w:val="24"/>
          <w:szCs w:val="24"/>
          <w:highlight w:val="none"/>
        </w:rPr>
        <w:t>或联系招标代理机构工作人员邮寄中标通知书</w:t>
      </w:r>
      <w:r>
        <w:rPr>
          <w:rFonts w:ascii="宋体" w:hAnsi="宋体" w:eastAsia="宋体" w:cs="宋体"/>
          <w:color w:val="auto"/>
          <w:sz w:val="24"/>
          <w:szCs w:val="24"/>
          <w:highlight w:val="none"/>
        </w:rPr>
        <w:t>。(详见投标人须知附表) 。</w:t>
      </w:r>
    </w:p>
    <w:p w14:paraId="11F02C99">
      <w:pPr>
        <w:spacing w:line="240" w:lineRule="auto"/>
        <w:ind w:firstLine="622" w:firstLineChars="200"/>
        <w:jc w:val="center"/>
        <w:outlineLvl w:val="1"/>
        <w:rPr>
          <w:rFonts w:ascii="宋体" w:hAnsi="宋体" w:eastAsia="宋体" w:cs="宋体"/>
          <w:b/>
          <w:bCs/>
          <w:color w:val="auto"/>
          <w:sz w:val="31"/>
          <w:szCs w:val="31"/>
          <w:highlight w:val="none"/>
        </w:rPr>
      </w:pPr>
      <w:bookmarkStart w:id="81" w:name="_Toc12817"/>
      <w:bookmarkStart w:id="82" w:name="_Toc23110"/>
      <w:r>
        <w:rPr>
          <w:rFonts w:hint="eastAsia" w:ascii="宋体" w:hAnsi="宋体" w:eastAsia="宋体" w:cs="宋体"/>
          <w:b/>
          <w:bCs/>
          <w:color w:val="auto"/>
          <w:sz w:val="31"/>
          <w:szCs w:val="31"/>
          <w:highlight w:val="none"/>
        </w:rPr>
        <w:t>六、签订及履行合同和验收</w:t>
      </w:r>
      <w:bookmarkEnd w:id="81"/>
      <w:bookmarkEnd w:id="82"/>
    </w:p>
    <w:p w14:paraId="2703C76E">
      <w:pPr>
        <w:spacing w:line="240" w:lineRule="auto"/>
        <w:outlineLvl w:val="9"/>
        <w:rPr>
          <w:rFonts w:ascii="宋体" w:hAnsi="宋体" w:eastAsia="宋体" w:cs="宋体"/>
          <w:b/>
          <w:bCs/>
          <w:color w:val="auto"/>
          <w:sz w:val="24"/>
          <w:szCs w:val="24"/>
          <w:highlight w:val="none"/>
        </w:rPr>
      </w:pPr>
      <w:bookmarkStart w:id="83" w:name="_Toc3408"/>
      <w:bookmarkStart w:id="84" w:name="_Toc20317"/>
      <w:r>
        <w:rPr>
          <w:rFonts w:hint="eastAsia" w:ascii="宋体" w:hAnsi="宋体" w:eastAsia="宋体" w:cs="宋体"/>
          <w:b/>
          <w:bCs/>
          <w:color w:val="auto"/>
          <w:sz w:val="24"/>
          <w:szCs w:val="24"/>
          <w:highlight w:val="none"/>
        </w:rPr>
        <w:t>29.签订合同</w:t>
      </w:r>
      <w:bookmarkEnd w:id="83"/>
      <w:bookmarkEnd w:id="84"/>
    </w:p>
    <w:p w14:paraId="22B2BC2C">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.1 中标人应在《中标通知书》发出之日起三十日内与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签订采购合同。由于中标人的原因逾期未与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签订采购合同的，将视为放弃中标，取消其中标资格并将按相关规定进行处理。</w:t>
      </w:r>
    </w:p>
    <w:p w14:paraId="155BE6BC">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不得向中标人提出任何不合理的要求，作为签订合同的条件，不得与中标人私下订立背离合同实质性内容的任何协议，所签订的合同主要条款 应当与招标文件和中标人投标文件确定的内容一致。</w:t>
      </w:r>
    </w:p>
    <w:p w14:paraId="4CBFBCA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.3 中标人因不可抗力原因不能履行采购合同或放弃中标的，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可以与排在中标人之后第一位的中标候选人签订采购合同，以此类推。</w:t>
      </w:r>
    </w:p>
    <w:p w14:paraId="367E43F8">
      <w:pPr>
        <w:spacing w:line="240" w:lineRule="auto"/>
        <w:outlineLvl w:val="9"/>
        <w:rPr>
          <w:rFonts w:ascii="宋体" w:hAnsi="宋体" w:eastAsia="宋体" w:cs="宋体"/>
          <w:b/>
          <w:bCs/>
          <w:color w:val="auto"/>
          <w:sz w:val="24"/>
          <w:szCs w:val="24"/>
          <w:highlight w:val="none"/>
        </w:rPr>
      </w:pPr>
      <w:bookmarkStart w:id="85" w:name="_Toc30385"/>
      <w:bookmarkStart w:id="86" w:name="_Toc24277"/>
      <w:r>
        <w:rPr>
          <w:rFonts w:hint="eastAsia" w:ascii="宋体" w:hAnsi="宋体" w:eastAsia="宋体" w:cs="宋体"/>
          <w:b/>
          <w:bCs/>
          <w:color w:val="auto"/>
          <w:sz w:val="24"/>
          <w:szCs w:val="24"/>
          <w:highlight w:val="none"/>
        </w:rPr>
        <w:t>30. 合同分包 (实质性要求)</w:t>
      </w:r>
      <w:bookmarkEnd w:id="85"/>
      <w:bookmarkEnd w:id="86"/>
    </w:p>
    <w:p w14:paraId="6EBEDEE4">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不</w:t>
      </w:r>
      <w:r>
        <w:rPr>
          <w:rFonts w:ascii="宋体" w:hAnsi="宋体" w:eastAsia="宋体" w:cs="宋体"/>
          <w:b/>
          <w:bCs/>
          <w:color w:val="auto"/>
          <w:sz w:val="24"/>
          <w:szCs w:val="24"/>
          <w:highlight w:val="none"/>
        </w:rPr>
        <w:t>接受合同分包。</w:t>
      </w:r>
    </w:p>
    <w:p w14:paraId="0D8EF28E">
      <w:pPr>
        <w:pStyle w:val="2"/>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30.1</w:t>
      </w:r>
      <w:r>
        <w:rPr>
          <w:rFonts w:hint="eastAsia" w:ascii="宋体" w:hAnsi="宋体" w:eastAsia="宋体" w:cs="宋体"/>
          <w:color w:val="auto"/>
          <w:sz w:val="24"/>
          <w:szCs w:val="24"/>
          <w:highlight w:val="none"/>
        </w:rPr>
        <w:t>经招标人同意，中标人可以依法采取分包方式履行合同，但必须在投标文件中事前载明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i w:val="0"/>
          <w:iCs w:val="0"/>
          <w:caps w:val="0"/>
          <w:color w:val="auto"/>
          <w:spacing w:val="0"/>
          <w:sz w:val="24"/>
          <w:szCs w:val="24"/>
          <w:highlight w:val="none"/>
          <w:shd w:val="clear" w:fill="FFFFFF"/>
        </w:rPr>
        <w:t>不得再次分包</w:t>
      </w:r>
      <w:r>
        <w:rPr>
          <w:rFonts w:hint="eastAsia" w:ascii="宋体" w:hAnsi="宋体" w:eastAsia="宋体" w:cs="宋体"/>
          <w:color w:val="auto"/>
          <w:sz w:val="24"/>
          <w:szCs w:val="24"/>
          <w:highlight w:val="none"/>
        </w:rPr>
        <w:t>。这种要求应当在合同签订之前征得</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同意，并且分包供应商履行的分包项目的品牌、规格型号及技术要求等，必须与中标的一致。</w:t>
      </w:r>
    </w:p>
    <w:p w14:paraId="775C9EA5">
      <w:pPr>
        <w:pStyle w:val="2"/>
        <w:spacing w:after="0"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分包履行合同的部分应当为采购项目的非主体、非关键性工作，不属于中标人的主要合同义务。</w:t>
      </w:r>
    </w:p>
    <w:p w14:paraId="5DEE24CE">
      <w:pPr>
        <w:pStyle w:val="2"/>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30.2 </w:t>
      </w:r>
      <w:r>
        <w:rPr>
          <w:rFonts w:hint="eastAsia" w:ascii="宋体" w:hAnsi="宋体" w:eastAsia="宋体" w:cs="宋体"/>
          <w:color w:val="auto"/>
          <w:sz w:val="24"/>
          <w:szCs w:val="24"/>
          <w:highlight w:val="none"/>
        </w:rPr>
        <w:t>采购合同实行分包履行的，中标人就采购项目和分包项目向招标人负责，分包供应商就分包项目承担责任。</w:t>
      </w:r>
    </w:p>
    <w:p w14:paraId="3EE2687A">
      <w:pPr>
        <w:pStyle w:val="2"/>
        <w:spacing w:after="0" w:line="24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中小企业依据《政府采购促进中小企业发展管理办法》（财库</w:t>
      </w:r>
      <w:r>
        <w:rPr>
          <w:rFonts w:ascii="宋体" w:hAnsi="宋体" w:eastAsia="宋体" w:cs="宋体"/>
          <w:color w:val="auto"/>
          <w:sz w:val="24"/>
          <w:szCs w:val="24"/>
          <w:highlight w:val="none"/>
        </w:rPr>
        <w:t>[2020]46</w:t>
      </w:r>
      <w:r>
        <w:rPr>
          <w:rFonts w:hint="eastAsia" w:ascii="宋体" w:hAnsi="宋体" w:eastAsia="宋体" w:cs="宋体"/>
          <w:color w:val="auto"/>
          <w:sz w:val="24"/>
          <w:szCs w:val="24"/>
          <w:highlight w:val="none"/>
        </w:rPr>
        <w:t>号）规定的政策获取采购合同后，小微企业不得将合同分包给大中型企业，中型企业不得将合同分包给大型企业。</w:t>
      </w:r>
    </w:p>
    <w:p w14:paraId="73980F3D">
      <w:pPr>
        <w:spacing w:line="240" w:lineRule="auto"/>
        <w:outlineLvl w:val="9"/>
        <w:rPr>
          <w:rFonts w:ascii="宋体" w:hAnsi="宋体" w:eastAsia="宋体" w:cs="宋体"/>
          <w:b/>
          <w:bCs/>
          <w:color w:val="auto"/>
          <w:sz w:val="24"/>
          <w:szCs w:val="24"/>
          <w:highlight w:val="none"/>
        </w:rPr>
      </w:pPr>
      <w:bookmarkStart w:id="87" w:name="_Toc137"/>
      <w:bookmarkStart w:id="88" w:name="_Toc21369"/>
      <w:r>
        <w:rPr>
          <w:rFonts w:hint="eastAsia" w:ascii="宋体" w:hAnsi="宋体" w:eastAsia="宋体" w:cs="宋体"/>
          <w:b/>
          <w:bCs/>
          <w:color w:val="auto"/>
          <w:sz w:val="24"/>
          <w:szCs w:val="24"/>
          <w:highlight w:val="none"/>
        </w:rPr>
        <w:t>31.合同转包 (实质性要求)</w:t>
      </w:r>
      <w:bookmarkEnd w:id="87"/>
      <w:bookmarkEnd w:id="88"/>
    </w:p>
    <w:p w14:paraId="436B4176">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本采购项目严禁中标人将任何合同义务转包。本项目所称转包，是指中标人将合同义务转让给第三人，并退出现有采购合同当事人双方的权利义务关系，受让人(即第三人)成为采购合同的另一方当事人的行为。</w:t>
      </w:r>
    </w:p>
    <w:p w14:paraId="0781AE81">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中标人转包的，视同拒绝履行采购合同义务，将依法追究法律责任。</w:t>
      </w:r>
    </w:p>
    <w:p w14:paraId="5DAED51D">
      <w:pPr>
        <w:spacing w:line="240" w:lineRule="auto"/>
        <w:outlineLvl w:val="9"/>
        <w:rPr>
          <w:rFonts w:ascii="宋体" w:hAnsi="宋体" w:eastAsia="宋体" w:cs="宋体"/>
          <w:b/>
          <w:bCs/>
          <w:color w:val="auto"/>
          <w:sz w:val="24"/>
          <w:szCs w:val="24"/>
          <w:highlight w:val="none"/>
        </w:rPr>
      </w:pPr>
      <w:bookmarkStart w:id="89" w:name="_Toc14740"/>
      <w:bookmarkStart w:id="90" w:name="_Toc4999"/>
      <w:r>
        <w:rPr>
          <w:rFonts w:hint="eastAsia" w:ascii="宋体" w:hAnsi="宋体" w:eastAsia="宋体" w:cs="宋体"/>
          <w:b/>
          <w:bCs/>
          <w:color w:val="auto"/>
          <w:sz w:val="24"/>
          <w:szCs w:val="24"/>
          <w:highlight w:val="none"/>
        </w:rPr>
        <w:t>32.补充合同</w:t>
      </w:r>
      <w:bookmarkEnd w:id="89"/>
      <w:bookmarkEnd w:id="90"/>
    </w:p>
    <w:p w14:paraId="42EA64B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招标人需要追加与合同标的相同的货物或者服务的，在不改变合同其他条款的前提下，可以与中标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77610BE">
      <w:pPr>
        <w:spacing w:line="240" w:lineRule="auto"/>
        <w:outlineLvl w:val="9"/>
        <w:rPr>
          <w:rFonts w:ascii="宋体" w:hAnsi="宋体" w:eastAsia="宋体" w:cs="宋体"/>
          <w:b/>
          <w:bCs/>
          <w:color w:val="auto"/>
          <w:sz w:val="24"/>
          <w:szCs w:val="24"/>
          <w:highlight w:val="none"/>
        </w:rPr>
      </w:pPr>
      <w:bookmarkStart w:id="91" w:name="_Toc20785"/>
      <w:bookmarkStart w:id="92" w:name="_Toc9248"/>
      <w:r>
        <w:rPr>
          <w:rFonts w:hint="eastAsia" w:ascii="宋体" w:hAnsi="宋体" w:eastAsia="宋体" w:cs="宋体"/>
          <w:b/>
          <w:bCs/>
          <w:color w:val="auto"/>
          <w:sz w:val="24"/>
          <w:szCs w:val="24"/>
          <w:highlight w:val="none"/>
        </w:rPr>
        <w:t>33.履约保证金 (实质性要求)</w:t>
      </w:r>
      <w:bookmarkEnd w:id="91"/>
      <w:bookmarkEnd w:id="92"/>
    </w:p>
    <w:p w14:paraId="3FF268F1">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本项目收取履约保证金。</w:t>
      </w:r>
      <w:r>
        <w:rPr>
          <w:rFonts w:hint="eastAsia" w:ascii="宋体" w:hAnsi="宋体" w:eastAsia="宋体" w:cs="宋体"/>
          <w:b/>
          <w:bCs/>
          <w:color w:val="auto"/>
          <w:sz w:val="24"/>
          <w:szCs w:val="24"/>
          <w:highlight w:val="none"/>
        </w:rPr>
        <w:t xml:space="preserve">按照本文件第二章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 一、</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须知附表 的规定执行。</w:t>
      </w:r>
    </w:p>
    <w:p w14:paraId="7E3A5694">
      <w:pPr>
        <w:spacing w:line="240" w:lineRule="auto"/>
        <w:outlineLvl w:val="9"/>
        <w:rPr>
          <w:rFonts w:ascii="宋体" w:hAnsi="宋体" w:eastAsia="宋体" w:cs="宋体"/>
          <w:b/>
          <w:bCs/>
          <w:color w:val="auto"/>
          <w:sz w:val="24"/>
          <w:szCs w:val="24"/>
          <w:highlight w:val="none"/>
        </w:rPr>
      </w:pPr>
      <w:bookmarkStart w:id="93" w:name="_Toc12321"/>
      <w:bookmarkStart w:id="94" w:name="_Toc30156"/>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.履行合同</w:t>
      </w:r>
      <w:bookmarkEnd w:id="93"/>
      <w:bookmarkEnd w:id="94"/>
    </w:p>
    <w:p w14:paraId="6299519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中标人与招标人签订合同后，合同双方应严格执行合同条款，履行合同规定的义务，保证合同的顺利完成。</w:t>
      </w:r>
    </w:p>
    <w:p w14:paraId="1E37787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在合同履行过程中，如发生合同纠纷，合同双方应按照《中华人民共和国民法典》的有关规定进行处理。</w:t>
      </w:r>
    </w:p>
    <w:p w14:paraId="38BE3EF2">
      <w:pPr>
        <w:spacing w:line="240" w:lineRule="auto"/>
        <w:outlineLvl w:val="9"/>
        <w:rPr>
          <w:rFonts w:ascii="宋体" w:hAnsi="宋体" w:eastAsia="宋体" w:cs="宋体"/>
          <w:b/>
          <w:bCs/>
          <w:color w:val="auto"/>
          <w:sz w:val="24"/>
          <w:szCs w:val="24"/>
          <w:highlight w:val="none"/>
        </w:rPr>
      </w:pPr>
      <w:bookmarkStart w:id="95" w:name="_Toc4612"/>
      <w:bookmarkStart w:id="96" w:name="_Toc29799"/>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.资金支付</w:t>
      </w:r>
      <w:bookmarkEnd w:id="95"/>
      <w:bookmarkEnd w:id="96"/>
    </w:p>
    <w:p w14:paraId="122563B7">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人将按照采购合同规定，及时向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支付采购资金。本项目采购资金采取授权支付，支付程序详见本文件“第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合同主要条款</w:t>
      </w:r>
      <w:r>
        <w:rPr>
          <w:rFonts w:hint="eastAsia" w:ascii="宋体" w:hAnsi="宋体" w:eastAsia="宋体" w:cs="宋体"/>
          <w:color w:val="auto"/>
          <w:sz w:val="24"/>
          <w:szCs w:val="24"/>
          <w:highlight w:val="none"/>
        </w:rPr>
        <w:t>”。</w:t>
      </w:r>
    </w:p>
    <w:p w14:paraId="439E5BDB">
      <w:pPr>
        <w:spacing w:line="240" w:lineRule="auto"/>
        <w:ind w:firstLine="622" w:firstLineChars="200"/>
        <w:jc w:val="center"/>
        <w:outlineLvl w:val="1"/>
        <w:rPr>
          <w:rFonts w:ascii="宋体" w:hAnsi="宋体" w:eastAsia="宋体" w:cs="宋体"/>
          <w:b/>
          <w:bCs/>
          <w:color w:val="auto"/>
          <w:sz w:val="31"/>
          <w:szCs w:val="31"/>
          <w:highlight w:val="none"/>
        </w:rPr>
      </w:pPr>
      <w:bookmarkStart w:id="97" w:name="_Toc18336"/>
      <w:bookmarkStart w:id="98" w:name="_Toc27841"/>
      <w:r>
        <w:rPr>
          <w:rFonts w:hint="eastAsia" w:ascii="宋体" w:hAnsi="宋体" w:eastAsia="宋体" w:cs="宋体"/>
          <w:b/>
          <w:bCs/>
          <w:color w:val="auto"/>
          <w:sz w:val="31"/>
          <w:szCs w:val="31"/>
          <w:highlight w:val="none"/>
        </w:rPr>
        <w:t>七、投标纪律要求</w:t>
      </w:r>
      <w:bookmarkEnd w:id="97"/>
      <w:bookmarkEnd w:id="98"/>
    </w:p>
    <w:p w14:paraId="10D3FB73">
      <w:pPr>
        <w:spacing w:line="240" w:lineRule="auto"/>
        <w:outlineLvl w:val="9"/>
        <w:rPr>
          <w:rFonts w:ascii="宋体" w:hAnsi="宋体" w:eastAsia="宋体" w:cs="宋体"/>
          <w:b/>
          <w:bCs/>
          <w:color w:val="auto"/>
          <w:sz w:val="24"/>
          <w:szCs w:val="24"/>
          <w:highlight w:val="none"/>
        </w:rPr>
      </w:pPr>
      <w:bookmarkStart w:id="99" w:name="_Toc4076"/>
      <w:bookmarkStart w:id="100" w:name="_Toc11058"/>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.投标人不得具有的情形</w:t>
      </w:r>
      <w:bookmarkEnd w:id="99"/>
      <w:bookmarkEnd w:id="100"/>
    </w:p>
    <w:p w14:paraId="551B65E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投标人参加本项目投标不得有下列情形：</w:t>
      </w:r>
    </w:p>
    <w:p w14:paraId="3A9A0800">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提供虚假材料谋取中标；</w:t>
      </w:r>
    </w:p>
    <w:p w14:paraId="736DC6D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采取不正当手段诋毁、排挤其他投标人；</w:t>
      </w:r>
    </w:p>
    <w:p w14:paraId="05F7871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与招标采购单位、其他投标人恶意串通；</w:t>
      </w:r>
    </w:p>
    <w:p w14:paraId="1BC88EA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向招标采购单位、评标委员会成员行贿或者提供其他不正当利益；</w:t>
      </w:r>
    </w:p>
    <w:p w14:paraId="7DA3DA46">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在招标过程中与招标采购单位进行协商谈判；</w:t>
      </w:r>
    </w:p>
    <w:p w14:paraId="01C9234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中标或者成交后无正当理由拒不与招标人签订采购合同；</w:t>
      </w:r>
    </w:p>
    <w:p w14:paraId="37A04A7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未按照采购文件确定的事项签订采购合同；</w:t>
      </w:r>
    </w:p>
    <w:p w14:paraId="26B7A2E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 将采购合同转包或者违规分包；</w:t>
      </w:r>
    </w:p>
    <w:p w14:paraId="10775C3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 提供假冒伪劣产品；</w:t>
      </w:r>
    </w:p>
    <w:p w14:paraId="70DA092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 擅自变更、中止或者终止采购合同；</w:t>
      </w:r>
    </w:p>
    <w:p w14:paraId="71F12BC9">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拒绝有关部门的监督检查或者向监督检查部门提供虚假情况；</w:t>
      </w:r>
    </w:p>
    <w:p w14:paraId="53EBFBB0">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法律法规规定的其他情形。</w:t>
      </w:r>
    </w:p>
    <w:p w14:paraId="7101495E">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投标人有上述情形的，按照规定追究法律责任，具备(1)-(10)条情形之一的，同时将取消中标资格或者认定中标、投标无效。</w:t>
      </w:r>
    </w:p>
    <w:p w14:paraId="35F44D5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投标人有下列情形之一的，视为投标人串通投标，其投标无效：</w:t>
      </w:r>
    </w:p>
    <w:p w14:paraId="424D0CD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不同投标人的投标文件由同一单位或者个人编制；</w:t>
      </w:r>
    </w:p>
    <w:p w14:paraId="41EA60B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不同投标人委托同一单位或者个人办理投标事宜；</w:t>
      </w:r>
    </w:p>
    <w:p w14:paraId="0E45BBD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不同投标人的投标文件载明的项目管理成员或者联系人员为同一人；</w:t>
      </w:r>
    </w:p>
    <w:p w14:paraId="0513E0E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不同投标人的投标文件异常一致或者投标报价呈规律性差异；</w:t>
      </w:r>
    </w:p>
    <w:p w14:paraId="55C09242">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(5) 不同投标人的投标文件相互混装；</w:t>
      </w:r>
    </w:p>
    <w:p w14:paraId="35DB0F7F">
      <w:pPr>
        <w:spacing w:line="240" w:lineRule="auto"/>
        <w:ind w:firstLine="622" w:firstLineChars="200"/>
        <w:jc w:val="center"/>
        <w:outlineLvl w:val="1"/>
        <w:rPr>
          <w:rFonts w:ascii="宋体" w:hAnsi="宋体" w:eastAsia="宋体" w:cs="宋体"/>
          <w:b/>
          <w:bCs/>
          <w:color w:val="auto"/>
          <w:sz w:val="31"/>
          <w:szCs w:val="31"/>
          <w:highlight w:val="none"/>
        </w:rPr>
      </w:pPr>
      <w:bookmarkStart w:id="101" w:name="_Toc31100"/>
      <w:bookmarkStart w:id="102" w:name="_Toc11580"/>
      <w:r>
        <w:rPr>
          <w:rFonts w:hint="eastAsia" w:ascii="宋体" w:hAnsi="宋体" w:eastAsia="宋体" w:cs="宋体"/>
          <w:b/>
          <w:bCs/>
          <w:color w:val="auto"/>
          <w:sz w:val="31"/>
          <w:szCs w:val="31"/>
          <w:highlight w:val="none"/>
        </w:rPr>
        <w:t>八、询问、质疑和投诉</w:t>
      </w:r>
      <w:bookmarkEnd w:id="101"/>
      <w:bookmarkEnd w:id="102"/>
    </w:p>
    <w:p w14:paraId="51ADD0C8">
      <w:pPr>
        <w:spacing w:before="3" w:line="240" w:lineRule="auto"/>
        <w:ind w:left="23" w:right="13" w:firstLine="482"/>
        <w:rPr>
          <w:rFonts w:ascii="宋体" w:hAnsi="宋体" w:eastAsia="宋体" w:cs="宋体"/>
          <w:color w:val="auto"/>
          <w:sz w:val="23"/>
          <w:szCs w:val="23"/>
          <w:highlight w:val="none"/>
        </w:rPr>
      </w:pPr>
      <w:r>
        <w:rPr>
          <w:rFonts w:hint="eastAsia" w:hAnsi="宋体"/>
          <w:sz w:val="24"/>
          <w:highlight w:val="none"/>
        </w:rPr>
        <w:t>详见《供应商须知前附表》。</w:t>
      </w:r>
    </w:p>
    <w:p w14:paraId="3C7A658C">
      <w:pPr>
        <w:spacing w:line="240" w:lineRule="auto"/>
        <w:ind w:firstLine="622" w:firstLineChars="200"/>
        <w:jc w:val="center"/>
        <w:outlineLvl w:val="1"/>
        <w:rPr>
          <w:rFonts w:ascii="宋体" w:hAnsi="宋体" w:eastAsia="宋体" w:cs="宋体"/>
          <w:b/>
          <w:bCs/>
          <w:color w:val="auto"/>
          <w:sz w:val="31"/>
          <w:szCs w:val="31"/>
          <w:highlight w:val="none"/>
        </w:rPr>
      </w:pPr>
      <w:bookmarkStart w:id="103" w:name="_Toc25397"/>
      <w:bookmarkStart w:id="104" w:name="_Toc13074"/>
      <w:r>
        <w:rPr>
          <w:rFonts w:hint="eastAsia" w:ascii="宋体" w:hAnsi="宋体" w:eastAsia="宋体" w:cs="宋体"/>
          <w:b/>
          <w:bCs/>
          <w:color w:val="auto"/>
          <w:sz w:val="31"/>
          <w:szCs w:val="31"/>
          <w:highlight w:val="none"/>
        </w:rPr>
        <w:t>九、其他</w:t>
      </w:r>
      <w:bookmarkEnd w:id="103"/>
      <w:bookmarkEnd w:id="104"/>
    </w:p>
    <w:p w14:paraId="0F30D769">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.本招标文件中所</w:t>
      </w:r>
      <w:r>
        <w:rPr>
          <w:rFonts w:hint="eastAsia" w:ascii="宋体" w:hAnsi="宋体" w:eastAsia="宋体" w:cs="宋体"/>
          <w:color w:val="auto"/>
          <w:sz w:val="24"/>
          <w:szCs w:val="24"/>
          <w:highlight w:val="none"/>
          <w:lang w:eastAsia="zh-CN"/>
        </w:rPr>
        <w:t>引用</w:t>
      </w:r>
      <w:r>
        <w:rPr>
          <w:rFonts w:hint="eastAsia" w:ascii="宋体" w:hAnsi="宋体" w:eastAsia="宋体" w:cs="宋体"/>
          <w:color w:val="auto"/>
          <w:sz w:val="24"/>
          <w:szCs w:val="24"/>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w:t>
      </w:r>
      <w:r>
        <w:rPr>
          <w:rFonts w:hint="eastAsia" w:ascii="宋体" w:hAnsi="宋体" w:eastAsia="宋体" w:cs="宋体"/>
          <w:color w:val="auto"/>
          <w:sz w:val="24"/>
          <w:szCs w:val="24"/>
          <w:highlight w:val="none"/>
          <w:lang w:eastAsia="zh-CN"/>
        </w:rPr>
        <w:t>作调整</w:t>
      </w:r>
      <w:r>
        <w:rPr>
          <w:rFonts w:hint="eastAsia" w:ascii="宋体" w:hAnsi="宋体" w:eastAsia="宋体" w:cs="宋体"/>
          <w:color w:val="auto"/>
          <w:sz w:val="24"/>
          <w:szCs w:val="24"/>
          <w:highlight w:val="none"/>
        </w:rPr>
        <w:t>。</w:t>
      </w:r>
    </w:p>
    <w:p w14:paraId="48417E08">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42.本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中加注(实质性要求)的条款，若未明确要求提供证明材料或承诺函，视为仅约束中标人，由中标人和招标人签订合同前进行核实。</w:t>
      </w:r>
    </w:p>
    <w:p w14:paraId="6AF625AE">
      <w:pPr>
        <w:spacing w:line="240" w:lineRule="auto"/>
        <w:rPr>
          <w:color w:val="auto"/>
          <w:highlight w:val="none"/>
        </w:rPr>
        <w:sectPr>
          <w:headerReference r:id="rId4" w:type="default"/>
          <w:footerReference r:id="rId5" w:type="default"/>
          <w:pgSz w:w="11905" w:h="16838"/>
          <w:pgMar w:top="1417" w:right="1417" w:bottom="1417" w:left="1417" w:header="0" w:footer="1134" w:gutter="0"/>
          <w:cols w:space="425" w:num="1"/>
        </w:sectPr>
      </w:pPr>
    </w:p>
    <w:p w14:paraId="05DBA3FC">
      <w:pPr>
        <w:spacing w:before="114" w:line="240" w:lineRule="auto"/>
        <w:jc w:val="center"/>
        <w:outlineLvl w:val="0"/>
        <w:rPr>
          <w:rFonts w:ascii="宋体" w:hAnsi="宋体" w:eastAsia="宋体" w:cs="宋体"/>
          <w:color w:val="auto"/>
          <w:sz w:val="36"/>
          <w:szCs w:val="36"/>
          <w:highlight w:val="none"/>
          <w14:textOutline w14:w="6540" w14:cap="sq" w14:cmpd="sng" w14:algn="ctr">
            <w14:solidFill>
              <w14:srgbClr w14:val="000000"/>
            </w14:solidFill>
            <w14:prstDash w14:val="solid"/>
            <w14:bevel/>
          </w14:textOutline>
        </w:rPr>
      </w:pPr>
      <w:bookmarkStart w:id="105" w:name="_Toc8441"/>
      <w:r>
        <w:rPr>
          <w:rFonts w:hint="eastAsia" w:ascii="宋体" w:hAnsi="宋体" w:eastAsia="宋体" w:cs="宋体"/>
          <w:color w:val="auto"/>
          <w:sz w:val="36"/>
          <w:szCs w:val="36"/>
          <w:highlight w:val="none"/>
          <w14:textOutline w14:w="6540" w14:cap="sq" w14:cmpd="sng" w14:algn="ctr">
            <w14:solidFill>
              <w14:srgbClr w14:val="000000"/>
            </w14:solidFill>
            <w14:prstDash w14:val="solid"/>
            <w14:bevel/>
          </w14:textOutline>
        </w:rPr>
        <w:t>第三章 投标文件格式</w:t>
      </w:r>
      <w:bookmarkEnd w:id="105"/>
    </w:p>
    <w:p w14:paraId="58D31D36">
      <w:pPr>
        <w:spacing w:line="240" w:lineRule="auto"/>
        <w:rPr>
          <w:color w:val="auto"/>
          <w:highlight w:val="none"/>
        </w:rPr>
      </w:pPr>
    </w:p>
    <w:p w14:paraId="7C92346B">
      <w:pPr>
        <w:spacing w:line="240" w:lineRule="auto"/>
        <w:rPr>
          <w:color w:val="auto"/>
          <w:highlight w:val="none"/>
        </w:rPr>
      </w:pPr>
    </w:p>
    <w:p w14:paraId="7F5AF50C">
      <w:pPr>
        <w:spacing w:line="240" w:lineRule="auto"/>
        <w:rPr>
          <w:color w:val="auto"/>
          <w:highlight w:val="none"/>
        </w:rPr>
      </w:pPr>
    </w:p>
    <w:p w14:paraId="497FE56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一、本章所制投标文件格式，除格式中明确将该格式作为实质性要求的，一律不具有强制性。</w:t>
      </w:r>
    </w:p>
    <w:p w14:paraId="428F997B">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二、本章所制投标文件格式有关表格中的备注栏，由投标人根据自身投标情况作解释性说明，不作为必填项。</w:t>
      </w:r>
    </w:p>
    <w:p w14:paraId="074262CB">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w:t>
      </w:r>
    </w:p>
    <w:p w14:paraId="3902FAD2">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四、本章格式中“注”的内容，投标人可以自行决定是否保留在投标文件中。未保留视为投标人默认接受“注”的内容。</w:t>
      </w:r>
    </w:p>
    <w:p w14:paraId="4CFFA7F0">
      <w:pPr>
        <w:spacing w:line="240" w:lineRule="auto"/>
        <w:rPr>
          <w:color w:val="auto"/>
          <w:highlight w:val="none"/>
        </w:rPr>
        <w:sectPr>
          <w:footerReference r:id="rId6" w:type="default"/>
          <w:pgSz w:w="11905" w:h="16838"/>
          <w:pgMar w:top="1417" w:right="1417" w:bottom="1417" w:left="1417" w:header="0" w:footer="1134" w:gutter="0"/>
          <w:cols w:space="425" w:num="1"/>
        </w:sectPr>
      </w:pPr>
    </w:p>
    <w:p w14:paraId="5A971EB9">
      <w:pPr>
        <w:spacing w:line="240" w:lineRule="auto"/>
        <w:rPr>
          <w:color w:val="auto"/>
          <w:sz w:val="2"/>
          <w:highlight w:val="none"/>
        </w:rPr>
      </w:pPr>
      <w:r>
        <w:rPr>
          <w:color w:val="auto"/>
          <w:sz w:val="2"/>
          <w:szCs w:val="2"/>
          <w:highlight w:val="none"/>
        </w:rPr>
        <w:br w:type="column"/>
      </w:r>
    </w:p>
    <w:p w14:paraId="00E7B12E">
      <w:pPr>
        <w:spacing w:line="240" w:lineRule="auto"/>
        <w:rPr>
          <w:color w:val="auto"/>
          <w:highlight w:val="none"/>
        </w:rPr>
      </w:pPr>
    </w:p>
    <w:p w14:paraId="00A31217">
      <w:pPr>
        <w:spacing w:before="3" w:line="240" w:lineRule="auto"/>
        <w:ind w:left="23" w:right="13" w:firstLine="482"/>
        <w:jc w:val="center"/>
        <w:outlineLvl w:val="9"/>
        <w:rPr>
          <w:rFonts w:ascii="宋体" w:hAnsi="宋体" w:eastAsia="宋体" w:cs="宋体"/>
          <w:b/>
          <w:bCs/>
          <w:color w:val="auto"/>
          <w:sz w:val="32"/>
          <w:szCs w:val="32"/>
          <w:highlight w:val="none"/>
        </w:rPr>
      </w:pPr>
      <w:bookmarkStart w:id="106" w:name="_Toc32221"/>
      <w:r>
        <w:rPr>
          <w:rFonts w:hint="eastAsia" w:ascii="宋体" w:hAnsi="宋体" w:eastAsia="宋体" w:cs="宋体"/>
          <w:b/>
          <w:bCs/>
          <w:color w:val="auto"/>
          <w:sz w:val="32"/>
          <w:szCs w:val="32"/>
          <w:highlight w:val="none"/>
        </w:rPr>
        <w:t>资格性投标文件封面</w:t>
      </w:r>
      <w:bookmarkEnd w:id="106"/>
    </w:p>
    <w:p w14:paraId="1F8EC14A">
      <w:pPr>
        <w:pStyle w:val="2"/>
        <w:spacing w:line="240" w:lineRule="auto"/>
        <w:rPr>
          <w:rFonts w:ascii="宋体" w:hAnsi="宋体" w:eastAsia="宋体" w:cs="宋体"/>
          <w:b/>
          <w:bCs/>
          <w:color w:val="auto"/>
          <w:sz w:val="32"/>
          <w:szCs w:val="32"/>
          <w:highlight w:val="none"/>
        </w:rPr>
      </w:pPr>
    </w:p>
    <w:p w14:paraId="49971E59">
      <w:pPr>
        <w:spacing w:line="240" w:lineRule="auto"/>
        <w:rPr>
          <w:color w:val="auto"/>
          <w:highlight w:val="none"/>
        </w:rPr>
      </w:pPr>
    </w:p>
    <w:p w14:paraId="14ABC4DF">
      <w:pPr>
        <w:spacing w:line="240" w:lineRule="auto"/>
        <w:rPr>
          <w:color w:val="auto"/>
          <w:highlight w:val="none"/>
        </w:rPr>
      </w:pPr>
    </w:p>
    <w:tbl>
      <w:tblPr>
        <w:tblStyle w:val="23"/>
        <w:tblW w:w="2001" w:type="dxa"/>
        <w:tblInd w:w="63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001"/>
      </w:tblGrid>
      <w:tr w14:paraId="719A13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 w:hRule="atLeast"/>
        </w:trPr>
        <w:tc>
          <w:tcPr>
            <w:tcW w:w="2001" w:type="dxa"/>
          </w:tcPr>
          <w:p w14:paraId="32F3B851">
            <w:pPr>
              <w:spacing w:before="58" w:line="240" w:lineRule="auto"/>
              <w:ind w:left="567"/>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5866E87F">
      <w:pPr>
        <w:spacing w:before="3" w:line="240" w:lineRule="auto"/>
        <w:ind w:left="23" w:right="13" w:firstLine="482"/>
        <w:jc w:val="center"/>
        <w:rPr>
          <w:rFonts w:ascii="宋体" w:hAnsi="宋体" w:eastAsia="宋体" w:cs="宋体"/>
          <w:b/>
          <w:bCs/>
          <w:color w:val="auto"/>
          <w:sz w:val="44"/>
          <w:szCs w:val="44"/>
          <w:highlight w:val="none"/>
        </w:rPr>
      </w:pPr>
    </w:p>
    <w:p w14:paraId="6D718558">
      <w:pPr>
        <w:pStyle w:val="2"/>
        <w:spacing w:line="240" w:lineRule="auto"/>
        <w:rPr>
          <w:color w:val="auto"/>
          <w:highlight w:val="none"/>
        </w:rPr>
      </w:pPr>
    </w:p>
    <w:p w14:paraId="12CC2764">
      <w:pPr>
        <w:spacing w:before="3" w:line="240" w:lineRule="auto"/>
        <w:ind w:left="23" w:right="13" w:firstLine="482"/>
        <w:jc w:val="center"/>
        <w:outlineLvl w:val="1"/>
        <w:rPr>
          <w:rFonts w:ascii="宋体" w:hAnsi="宋体" w:eastAsia="宋体" w:cs="宋体"/>
          <w:b/>
          <w:bCs/>
          <w:color w:val="auto"/>
          <w:sz w:val="44"/>
          <w:szCs w:val="44"/>
          <w:highlight w:val="none"/>
        </w:rPr>
      </w:pPr>
      <w:bookmarkStart w:id="107" w:name="_Toc14032"/>
      <w:bookmarkStart w:id="108" w:name="_Toc5586"/>
      <w:r>
        <w:rPr>
          <w:rFonts w:hint="eastAsia" w:ascii="宋体" w:hAnsi="宋体" w:eastAsia="宋体" w:cs="宋体"/>
          <w:b/>
          <w:bCs/>
          <w:color w:val="auto"/>
          <w:sz w:val="44"/>
          <w:szCs w:val="44"/>
          <w:highlight w:val="none"/>
        </w:rPr>
        <w:t>第一部分：资格性投标文件</w:t>
      </w:r>
      <w:bookmarkEnd w:id="107"/>
      <w:bookmarkEnd w:id="108"/>
    </w:p>
    <w:p w14:paraId="235CD811">
      <w:pPr>
        <w:spacing w:line="240" w:lineRule="auto"/>
        <w:rPr>
          <w:color w:val="auto"/>
          <w:highlight w:val="none"/>
        </w:rPr>
      </w:pPr>
    </w:p>
    <w:p w14:paraId="5DEB2985">
      <w:pPr>
        <w:spacing w:line="240" w:lineRule="auto"/>
        <w:rPr>
          <w:color w:val="auto"/>
          <w:highlight w:val="none"/>
        </w:rPr>
      </w:pPr>
    </w:p>
    <w:p w14:paraId="6289A903">
      <w:pPr>
        <w:pStyle w:val="2"/>
        <w:spacing w:line="240" w:lineRule="auto"/>
        <w:rPr>
          <w:rFonts w:ascii="Arial"/>
          <w:color w:val="auto"/>
          <w:sz w:val="21"/>
          <w:highlight w:val="none"/>
        </w:rPr>
      </w:pPr>
    </w:p>
    <w:p w14:paraId="6F9F8A93">
      <w:pPr>
        <w:spacing w:line="240" w:lineRule="auto"/>
        <w:rPr>
          <w:color w:val="auto"/>
          <w:highlight w:val="none"/>
        </w:rPr>
      </w:pPr>
    </w:p>
    <w:p w14:paraId="2AC662B3">
      <w:pPr>
        <w:spacing w:line="240" w:lineRule="auto"/>
        <w:rPr>
          <w:color w:val="auto"/>
          <w:highlight w:val="none"/>
        </w:rPr>
      </w:pPr>
    </w:p>
    <w:p w14:paraId="2B35BD60">
      <w:pPr>
        <w:spacing w:line="240" w:lineRule="auto"/>
        <w:rPr>
          <w:color w:val="auto"/>
          <w:highlight w:val="none"/>
        </w:rPr>
      </w:pPr>
    </w:p>
    <w:p w14:paraId="3F533D2F">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1C368D13">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rPr>
        <w:t>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03567E66">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6AEBA9F5">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529CE9BF">
      <w:pPr>
        <w:spacing w:before="3" w:line="240" w:lineRule="auto"/>
        <w:ind w:left="23" w:right="13" w:firstLine="482"/>
        <w:jc w:val="center"/>
        <w:rPr>
          <w:rFonts w:ascii="宋体" w:hAnsi="宋体" w:eastAsia="宋体" w:cs="宋体"/>
          <w:b/>
          <w:bCs/>
          <w:color w:val="auto"/>
          <w:spacing w:val="18"/>
          <w:sz w:val="32"/>
          <w:szCs w:val="32"/>
          <w:highlight w:val="none"/>
        </w:rPr>
      </w:pPr>
    </w:p>
    <w:p w14:paraId="530C0485">
      <w:pPr>
        <w:spacing w:before="3" w:line="240" w:lineRule="auto"/>
        <w:ind w:left="23" w:right="13" w:firstLine="482"/>
        <w:jc w:val="center"/>
        <w:rPr>
          <w:rFonts w:ascii="宋体" w:hAnsi="宋体" w:eastAsia="宋体" w:cs="宋体"/>
          <w:b/>
          <w:bCs/>
          <w:color w:val="auto"/>
          <w:spacing w:val="18"/>
          <w:sz w:val="32"/>
          <w:szCs w:val="32"/>
          <w:highlight w:val="none"/>
        </w:rPr>
      </w:pPr>
    </w:p>
    <w:p w14:paraId="72771813">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224B0533">
      <w:pPr>
        <w:spacing w:line="240" w:lineRule="auto"/>
        <w:rPr>
          <w:color w:val="auto"/>
          <w:highlight w:val="none"/>
        </w:rPr>
        <w:sectPr>
          <w:headerReference r:id="rId7" w:type="default"/>
          <w:footerReference r:id="rId8" w:type="default"/>
          <w:type w:val="continuous"/>
          <w:pgSz w:w="11905" w:h="16838"/>
          <w:pgMar w:top="1417" w:right="1417" w:bottom="1417" w:left="1417" w:header="0" w:footer="1134" w:gutter="0"/>
          <w:cols w:space="425" w:num="1"/>
        </w:sectPr>
      </w:pPr>
    </w:p>
    <w:p w14:paraId="2AD8E069">
      <w:pPr>
        <w:spacing w:before="3" w:line="240" w:lineRule="auto"/>
        <w:ind w:right="13"/>
        <w:jc w:val="center"/>
        <w:outlineLvl w:val="9"/>
        <w:rPr>
          <w:rFonts w:ascii="宋体" w:hAnsi="宋体" w:eastAsia="宋体" w:cs="宋体"/>
          <w:b/>
          <w:bCs/>
          <w:color w:val="auto"/>
          <w:sz w:val="32"/>
          <w:szCs w:val="32"/>
          <w:highlight w:val="none"/>
        </w:rPr>
      </w:pPr>
      <w:bookmarkStart w:id="109" w:name="_Toc538"/>
      <w:bookmarkStart w:id="110" w:name="_Toc6855"/>
      <w:r>
        <w:rPr>
          <w:rFonts w:hint="eastAsia" w:ascii="宋体" w:hAnsi="宋体" w:eastAsia="宋体" w:cs="宋体"/>
          <w:b/>
          <w:bCs/>
          <w:color w:val="auto"/>
          <w:sz w:val="32"/>
          <w:szCs w:val="32"/>
          <w:highlight w:val="none"/>
        </w:rPr>
        <w:t>一、相关证明文件格式</w:t>
      </w:r>
      <w:bookmarkEnd w:id="109"/>
      <w:bookmarkEnd w:id="110"/>
    </w:p>
    <w:p w14:paraId="40B60007">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p w14:paraId="03A97BF1">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法定代表人/单位负责人证明书</w:t>
      </w:r>
    </w:p>
    <w:p w14:paraId="47EF5F0B">
      <w:pPr>
        <w:spacing w:line="240" w:lineRule="auto"/>
        <w:rPr>
          <w:color w:val="auto"/>
          <w:highlight w:val="none"/>
        </w:rPr>
      </w:pPr>
    </w:p>
    <w:p w14:paraId="5CEF2BE5">
      <w:pPr>
        <w:spacing w:before="75" w:line="240" w:lineRule="auto"/>
        <w:ind w:left="9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66B7ECF">
      <w:pPr>
        <w:spacing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5EDB8BC">
      <w:pPr>
        <w:spacing w:before="305"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793B332">
      <w:pPr>
        <w:tabs>
          <w:tab w:val="left" w:pos="569"/>
        </w:tabs>
        <w:spacing w:before="315" w:line="240" w:lineRule="auto"/>
        <w:ind w:left="442" w:firstLine="5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投标人名称) 的法定代表人/单位负责人。就参加贵公司组织的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(采购项目编号)投标活动，签署上述项目的投标文件及合同的执行、完成、服务和保修，签署合同和处理与之有关的一切事务。</w:t>
      </w:r>
    </w:p>
    <w:p w14:paraId="4BF67F75">
      <w:pPr>
        <w:spacing w:before="75" w:line="240" w:lineRule="auto"/>
        <w:ind w:left="98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特此证明。</w:t>
      </w:r>
    </w:p>
    <w:p w14:paraId="1CA15BA6">
      <w:pPr>
        <w:spacing w:line="240" w:lineRule="auto"/>
        <w:rPr>
          <w:color w:val="auto"/>
          <w:highlight w:val="none"/>
        </w:rPr>
      </w:pPr>
    </w:p>
    <w:p w14:paraId="509FFB96">
      <w:pPr>
        <w:spacing w:line="240" w:lineRule="auto"/>
        <w:rPr>
          <w:color w:val="auto"/>
          <w:highlight w:val="none"/>
        </w:rPr>
      </w:pPr>
    </w:p>
    <w:p w14:paraId="41D89711">
      <w:pPr>
        <w:spacing w:line="240" w:lineRule="auto"/>
        <w:rPr>
          <w:color w:val="auto"/>
          <w:highlight w:val="none"/>
        </w:rPr>
      </w:pPr>
    </w:p>
    <w:p w14:paraId="3BA98D30">
      <w:pPr>
        <w:spacing w:before="75" w:line="240" w:lineRule="auto"/>
        <w:ind w:left="98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(※此处请附法定代表人/单位负责人身份证明材料正反两面复印件※)</w:t>
      </w:r>
    </w:p>
    <w:p w14:paraId="6BE95460">
      <w:pPr>
        <w:spacing w:line="240" w:lineRule="auto"/>
        <w:rPr>
          <w:color w:val="auto"/>
          <w:sz w:val="24"/>
          <w:szCs w:val="24"/>
          <w:highlight w:val="none"/>
        </w:rPr>
      </w:pPr>
    </w:p>
    <w:p w14:paraId="2BFFBECD">
      <w:pPr>
        <w:spacing w:line="240" w:lineRule="auto"/>
        <w:rPr>
          <w:color w:val="auto"/>
          <w:sz w:val="24"/>
          <w:szCs w:val="24"/>
          <w:highlight w:val="none"/>
        </w:rPr>
      </w:pPr>
    </w:p>
    <w:p w14:paraId="4391057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3FD33F2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法定代表人/单位负责人(签字或加盖个人名章)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28B6E36">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BCD586">
      <w:pPr>
        <w:spacing w:line="240" w:lineRule="auto"/>
        <w:rPr>
          <w:color w:val="auto"/>
          <w:sz w:val="24"/>
          <w:szCs w:val="24"/>
          <w:highlight w:val="none"/>
        </w:rPr>
      </w:pPr>
    </w:p>
    <w:p w14:paraId="6EA30FCB">
      <w:pPr>
        <w:spacing w:line="240" w:lineRule="auto"/>
        <w:rPr>
          <w:color w:val="auto"/>
          <w:sz w:val="24"/>
          <w:szCs w:val="24"/>
          <w:highlight w:val="none"/>
        </w:rPr>
      </w:pPr>
    </w:p>
    <w:p w14:paraId="5FC2F137">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注意：1、法定代表人/单位负责人参加本项目投标的，仅须出具此证明书。</w:t>
      </w:r>
    </w:p>
    <w:p w14:paraId="4966A11A">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2、身份证明材料包括居民身份证或居民户口簿或军官证或护照等。</w:t>
      </w:r>
    </w:p>
    <w:p w14:paraId="2779BEE2">
      <w:pPr>
        <w:spacing w:before="75" w:line="240" w:lineRule="auto"/>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3、身份证明材料应同时提供其在有效期的材料，如居民身份证正、反面复印件</w:t>
      </w:r>
      <w:r>
        <w:rPr>
          <w:rFonts w:ascii="宋体" w:hAnsi="宋体" w:eastAsia="宋体" w:cs="宋体"/>
          <w:color w:val="auto"/>
          <w:position w:val="1"/>
          <w:sz w:val="24"/>
          <w:szCs w:val="24"/>
          <w:highlight w:val="none"/>
          <w14:textOutline w14:w="4356" w14:cap="sq" w14:cmpd="sng" w14:algn="ctr">
            <w14:solidFill>
              <w14:srgbClr w14:val="000000"/>
            </w14:solidFill>
            <w14:prstDash w14:val="solid"/>
            <w14:bevel/>
          </w14:textOutline>
        </w:rPr>
        <w:t>。</w:t>
      </w:r>
    </w:p>
    <w:p w14:paraId="5C3D0854">
      <w:pPr>
        <w:spacing w:line="240" w:lineRule="auto"/>
        <w:rPr>
          <w:color w:val="auto"/>
          <w:highlight w:val="none"/>
        </w:rPr>
        <w:sectPr>
          <w:headerReference r:id="rId9" w:type="default"/>
          <w:footerReference r:id="rId10" w:type="default"/>
          <w:pgSz w:w="11905" w:h="16838"/>
          <w:pgMar w:top="1417" w:right="1417" w:bottom="1417" w:left="1417" w:header="0" w:footer="1134" w:gutter="0"/>
          <w:cols w:space="425" w:num="1"/>
        </w:sectPr>
      </w:pPr>
    </w:p>
    <w:p w14:paraId="04C4B72C">
      <w:pPr>
        <w:spacing w:before="3" w:line="240" w:lineRule="auto"/>
        <w:ind w:right="13"/>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p w14:paraId="55B6B0B5">
      <w:pPr>
        <w:spacing w:before="75" w:line="240" w:lineRule="auto"/>
        <w:ind w:left="2611"/>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法定代表人/单位负责人授权书</w:t>
      </w:r>
    </w:p>
    <w:p w14:paraId="1C0A114D">
      <w:pPr>
        <w:spacing w:line="240" w:lineRule="auto"/>
        <w:rPr>
          <w:color w:val="auto"/>
          <w:highlight w:val="none"/>
        </w:rPr>
      </w:pPr>
    </w:p>
    <w:p w14:paraId="1C1F010E">
      <w:pPr>
        <w:spacing w:line="240" w:lineRule="auto"/>
        <w:rPr>
          <w:color w:val="auto"/>
          <w:highlight w:val="none"/>
        </w:rPr>
      </w:pPr>
    </w:p>
    <w:p w14:paraId="090B2748">
      <w:pPr>
        <w:tabs>
          <w:tab w:val="left" w:pos="1588"/>
        </w:tabs>
        <w:spacing w:before="74"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68159B5C">
      <w:pPr>
        <w:spacing w:before="77" w:line="240" w:lineRule="auto"/>
        <w:ind w:left="23"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(法定代表人/单位负责人姓名、职务)授权</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(被授权人姓名、职务)为我方“</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)投标活动的合法代表，以我方名义全权处理该项目有关投标、签订合同以及执行合同等一切事宜。</w:t>
      </w:r>
    </w:p>
    <w:p w14:paraId="433783DF">
      <w:pPr>
        <w:spacing w:line="240" w:lineRule="auto"/>
        <w:ind w:left="493"/>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特此声明。</w:t>
      </w:r>
    </w:p>
    <w:p w14:paraId="1FD2A254">
      <w:pPr>
        <w:spacing w:line="240" w:lineRule="auto"/>
        <w:rPr>
          <w:color w:val="auto"/>
          <w:highlight w:val="none"/>
        </w:rPr>
      </w:pPr>
    </w:p>
    <w:p w14:paraId="7F6392DE">
      <w:pPr>
        <w:spacing w:line="240" w:lineRule="auto"/>
        <w:rPr>
          <w:color w:val="auto"/>
          <w:highlight w:val="none"/>
        </w:rPr>
      </w:pPr>
    </w:p>
    <w:p w14:paraId="5B86E50F">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r>
        <w:rPr>
          <w:rFonts w:ascii="宋体" w:hAnsi="宋体" w:eastAsia="宋体" w:cs="宋体"/>
          <w:color w:val="auto"/>
          <w:sz w:val="24"/>
          <w:szCs w:val="24"/>
          <w:highlight w:val="none"/>
        </w:rPr>
        <w:t xml:space="preserve">          </w:t>
      </w:r>
    </w:p>
    <w:p w14:paraId="07418F8C">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57481B99">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授权代表(签字或加盖个人名章) ：</w:t>
      </w:r>
      <w:r>
        <w:rPr>
          <w:rFonts w:ascii="宋体" w:hAnsi="宋体" w:eastAsia="宋体" w:cs="宋体"/>
          <w:color w:val="auto"/>
          <w:sz w:val="24"/>
          <w:szCs w:val="24"/>
          <w:highlight w:val="none"/>
          <w:u w:val="single"/>
        </w:rPr>
        <w:t xml:space="preserve">                  </w:t>
      </w:r>
    </w:p>
    <w:p w14:paraId="7944A083">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EBD053">
      <w:pPr>
        <w:spacing w:line="240" w:lineRule="auto"/>
        <w:rPr>
          <w:color w:val="auto"/>
          <w:highlight w:val="none"/>
        </w:rPr>
      </w:pPr>
    </w:p>
    <w:p w14:paraId="6358C59D">
      <w:pPr>
        <w:spacing w:line="240" w:lineRule="auto"/>
        <w:rPr>
          <w:color w:val="auto"/>
          <w:highlight w:val="none"/>
        </w:rPr>
      </w:pPr>
    </w:p>
    <w:p w14:paraId="2B8302BB">
      <w:pPr>
        <w:spacing w:line="240" w:lineRule="auto"/>
        <w:rPr>
          <w:color w:val="auto"/>
          <w:highlight w:val="none"/>
        </w:rPr>
      </w:pPr>
    </w:p>
    <w:p w14:paraId="04E0D9B5">
      <w:pPr>
        <w:spacing w:line="240" w:lineRule="auto"/>
        <w:rPr>
          <w:color w:val="auto"/>
          <w:highlight w:val="none"/>
        </w:rPr>
      </w:pPr>
    </w:p>
    <w:p w14:paraId="133F38E7">
      <w:pPr>
        <w:spacing w:line="240" w:lineRule="auto"/>
        <w:rPr>
          <w:color w:val="auto"/>
          <w:highlight w:val="none"/>
        </w:rPr>
      </w:pPr>
    </w:p>
    <w:p w14:paraId="7A683D95">
      <w:pPr>
        <w:spacing w:line="240" w:lineRule="auto"/>
        <w:rPr>
          <w:color w:val="auto"/>
          <w:highlight w:val="none"/>
        </w:rPr>
      </w:pPr>
    </w:p>
    <w:p w14:paraId="11CD48BB">
      <w:pPr>
        <w:spacing w:line="240" w:lineRule="auto"/>
        <w:rPr>
          <w:color w:val="auto"/>
          <w:highlight w:val="none"/>
        </w:rPr>
      </w:pPr>
    </w:p>
    <w:p w14:paraId="1A38DFD2">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注：1、供应商为法人单位时提供“法定代表人授权书”，供应商为其他组织时提供“单位负责人授权书”，供应商为自然人时提供“自然人身份证明材料”。</w:t>
      </w:r>
    </w:p>
    <w:p w14:paraId="32BC77C3">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2、应附法定代表人/单位负责人身份证明材料复印件和授权代表身份证明材料复印件(包括正反两面) 。</w:t>
      </w:r>
    </w:p>
    <w:p w14:paraId="6939C855">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3、身份证明材料包括居民身份证或居民户口簿或军官证或护照等。</w:t>
      </w:r>
    </w:p>
    <w:p w14:paraId="40828F24">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4、身份证明材料应同时提供其在有效期的材料，如居民身份证正、反面复印件。</w:t>
      </w:r>
    </w:p>
    <w:p w14:paraId="0743DF27">
      <w:pPr>
        <w:spacing w:before="3" w:line="240" w:lineRule="auto"/>
        <w:ind w:right="13"/>
        <w:jc w:val="center"/>
        <w:rPr>
          <w:color w:val="auto"/>
          <w:highlight w:val="none"/>
        </w:rPr>
        <w:sectPr>
          <w:headerReference r:id="rId11" w:type="default"/>
          <w:footerReference r:id="rId12" w:type="default"/>
          <w:pgSz w:w="11905" w:h="16838"/>
          <w:pgMar w:top="1417" w:right="1417" w:bottom="1417" w:left="1417" w:header="0" w:footer="1134" w:gutter="0"/>
          <w:cols w:space="425" w:num="1"/>
        </w:sectPr>
      </w:pPr>
    </w:p>
    <w:p w14:paraId="6F05B0D1">
      <w:pPr>
        <w:spacing w:before="3" w:line="240" w:lineRule="auto"/>
        <w:ind w:right="13"/>
        <w:jc w:val="center"/>
        <w:outlineLvl w:val="9"/>
        <w:rPr>
          <w:rFonts w:ascii="宋体" w:hAnsi="宋体" w:eastAsia="宋体" w:cs="宋体"/>
          <w:b/>
          <w:bCs/>
          <w:color w:val="auto"/>
          <w:sz w:val="32"/>
          <w:szCs w:val="32"/>
          <w:highlight w:val="none"/>
        </w:rPr>
      </w:pPr>
      <w:bookmarkStart w:id="111" w:name="_Toc17596"/>
      <w:bookmarkStart w:id="112" w:name="_Toc8667"/>
      <w:r>
        <w:rPr>
          <w:rFonts w:hint="eastAsia" w:ascii="宋体" w:hAnsi="宋体" w:eastAsia="宋体" w:cs="宋体"/>
          <w:b/>
          <w:bCs/>
          <w:color w:val="auto"/>
          <w:sz w:val="32"/>
          <w:szCs w:val="32"/>
          <w:highlight w:val="none"/>
        </w:rPr>
        <w:t>二、资格性承诺函 (实质性要求)</w:t>
      </w:r>
      <w:bookmarkEnd w:id="111"/>
      <w:bookmarkEnd w:id="112"/>
    </w:p>
    <w:p w14:paraId="499B3073">
      <w:pPr>
        <w:tabs>
          <w:tab w:val="left" w:pos="1948"/>
        </w:tabs>
        <w:spacing w:line="240" w:lineRule="auto"/>
        <w:rPr>
          <w:rFonts w:ascii="宋体" w:hAnsi="宋体" w:eastAsia="宋体" w:cs="宋体"/>
          <w:color w:val="auto"/>
          <w:sz w:val="23"/>
          <w:szCs w:val="23"/>
          <w:highlight w:val="none"/>
          <w:u w:val="single"/>
        </w:rPr>
      </w:pPr>
    </w:p>
    <w:p w14:paraId="0975CE62">
      <w:pPr>
        <w:tabs>
          <w:tab w:val="left" w:pos="1948"/>
        </w:tabs>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6D768642">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我单位作为本次采购项目的投标人，根据招标文件要求，现郑重承诺如下：具备《中华人民共和国政府采购法》第二十二条第一款和本项目规定的条件：</w:t>
      </w:r>
    </w:p>
    <w:p w14:paraId="5BC38707">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p>
    <w:p w14:paraId="3F51E63C">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w:t>
      </w:r>
    </w:p>
    <w:p w14:paraId="5AAB03A6">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具有履行合同所必需的设备和专业技术能力；</w:t>
      </w:r>
    </w:p>
    <w:p w14:paraId="280F078B">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有依法缴纳税收和社会保障资金的良好记录；</w:t>
      </w:r>
    </w:p>
    <w:p w14:paraId="0FB609F0">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参加本次采购活动前三年内，在经营活动中没有重大违法记录；</w:t>
      </w:r>
    </w:p>
    <w:p w14:paraId="53E1AC99">
      <w:pPr>
        <w:spacing w:line="240" w:lineRule="auto"/>
        <w:ind w:firstLine="4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w:t>
      </w:r>
    </w:p>
    <w:p w14:paraId="34C59444">
      <w:pPr>
        <w:spacing w:line="240" w:lineRule="auto"/>
        <w:ind w:firstLine="471"/>
        <w:rPr>
          <w:rFonts w:hint="eastAsia"/>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）非联合体参加本项目的投标。</w:t>
      </w:r>
    </w:p>
    <w:p w14:paraId="07D8C9C5">
      <w:pPr>
        <w:spacing w:line="24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根据国务院办公厅关于加快推进“多证合一”改革的指导意见(国办发〔2017〕41号)等政策要求，若资格要求涉及的登记、备案等有关事项和各类证照已实行多证合一导致我方无法提供该类证明材料的，我方承诺满足招标文件资格要求。(此条针对资格要求如涉及的登记、备案等有关事项和各类证照已实行多证合一导致投标人无法提供该类证明材料的，投标人提供该承诺)</w:t>
      </w:r>
      <w:r>
        <w:rPr>
          <w:rFonts w:hint="eastAsia" w:ascii="宋体" w:hAnsi="宋体" w:eastAsia="宋体" w:cs="宋体"/>
          <w:color w:val="auto"/>
          <w:sz w:val="24"/>
          <w:szCs w:val="24"/>
          <w:highlight w:val="none"/>
          <w:lang w:eastAsia="zh-CN"/>
        </w:rPr>
        <w:t>。</w:t>
      </w:r>
    </w:p>
    <w:p w14:paraId="742968DC">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14:paraId="7892795B">
      <w:pPr>
        <w:spacing w:before="1" w:line="240" w:lineRule="auto"/>
        <w:ind w:left="496"/>
        <w:rPr>
          <w:rFonts w:ascii="宋体" w:hAnsi="宋体" w:eastAsia="宋体" w:cs="宋体"/>
          <w:color w:val="auto"/>
          <w:sz w:val="24"/>
          <w:szCs w:val="24"/>
          <w:highlight w:val="none"/>
        </w:rPr>
      </w:pPr>
    </w:p>
    <w:p w14:paraId="0842C87D">
      <w:pPr>
        <w:spacing w:before="1" w:line="240" w:lineRule="auto"/>
        <w:ind w:left="496"/>
        <w:rPr>
          <w:rFonts w:ascii="宋体" w:hAnsi="宋体" w:eastAsia="宋体" w:cs="宋体"/>
          <w:color w:val="auto"/>
          <w:sz w:val="24"/>
          <w:szCs w:val="24"/>
          <w:highlight w:val="none"/>
        </w:rPr>
      </w:pPr>
    </w:p>
    <w:p w14:paraId="40CA61DD">
      <w:pPr>
        <w:spacing w:before="1" w:line="240" w:lineRule="auto"/>
        <w:ind w:left="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121D282B">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560AF9AC">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DF2041">
      <w:pPr>
        <w:spacing w:line="240" w:lineRule="auto"/>
        <w:rPr>
          <w:color w:val="auto"/>
          <w:highlight w:val="none"/>
        </w:rPr>
        <w:sectPr>
          <w:headerReference r:id="rId13" w:type="default"/>
          <w:footerReference r:id="rId14" w:type="default"/>
          <w:pgSz w:w="11905" w:h="16838"/>
          <w:pgMar w:top="1417" w:right="1417" w:bottom="1417" w:left="1417" w:header="0" w:footer="1134" w:gutter="0"/>
          <w:cols w:space="425" w:num="1"/>
        </w:sectPr>
      </w:pPr>
    </w:p>
    <w:p w14:paraId="21036F1D">
      <w:pPr>
        <w:spacing w:before="41" w:line="240" w:lineRule="auto"/>
        <w:ind w:firstLine="0"/>
        <w:textAlignment w:val="center"/>
        <w:rPr>
          <w:color w:val="auto"/>
          <w:highlight w:val="none"/>
        </w:rPr>
      </w:pPr>
    </w:p>
    <w:p w14:paraId="298B3485">
      <w:pPr>
        <w:numPr>
          <w:ilvl w:val="255"/>
          <w:numId w:val="0"/>
        </w:numPr>
        <w:spacing w:before="0" w:line="240" w:lineRule="auto"/>
        <w:ind w:right="0"/>
        <w:outlineLvl w:val="9"/>
        <w:rPr>
          <w:rFonts w:ascii="宋体" w:hAnsi="宋体" w:eastAsia="宋体" w:cs="宋体"/>
          <w:b/>
          <w:bCs/>
          <w:color w:val="auto"/>
          <w:sz w:val="32"/>
          <w:szCs w:val="32"/>
          <w:highlight w:val="none"/>
        </w:rPr>
      </w:pPr>
      <w:bookmarkStart w:id="113" w:name="_Toc1481"/>
      <w:bookmarkStart w:id="114" w:name="_Toc13627"/>
      <w:r>
        <w:rPr>
          <w:rFonts w:hint="eastAsia" w:ascii="宋体" w:hAnsi="宋体" w:eastAsia="宋体" w:cs="宋体"/>
          <w:b/>
          <w:bCs/>
          <w:color w:val="auto"/>
          <w:sz w:val="32"/>
          <w:szCs w:val="32"/>
          <w:highlight w:val="none"/>
        </w:rPr>
        <w:t>三、具有独立承担民事责任的能力的证明材料</w:t>
      </w:r>
      <w:bookmarkEnd w:id="113"/>
      <w:bookmarkEnd w:id="114"/>
      <w:r>
        <w:rPr>
          <w:rFonts w:hint="eastAsia" w:ascii="宋体" w:hAnsi="宋体" w:eastAsia="宋体" w:cs="宋体"/>
          <w:b/>
          <w:bCs/>
          <w:color w:val="auto"/>
          <w:sz w:val="32"/>
          <w:szCs w:val="32"/>
          <w:highlight w:val="none"/>
        </w:rPr>
        <w:t xml:space="preserve"> </w:t>
      </w:r>
    </w:p>
    <w:p w14:paraId="191D15CC">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73A4B801">
      <w:pPr>
        <w:spacing w:before="3" w:line="240" w:lineRule="auto"/>
        <w:ind w:right="13"/>
        <w:jc w:val="center"/>
        <w:rPr>
          <w:rFonts w:ascii="宋体" w:hAnsi="宋体" w:eastAsia="宋体" w:cs="宋体"/>
          <w:b/>
          <w:bCs/>
          <w:color w:val="auto"/>
          <w:sz w:val="32"/>
          <w:szCs w:val="32"/>
          <w:highlight w:val="none"/>
        </w:rPr>
      </w:pPr>
    </w:p>
    <w:p w14:paraId="139EE767">
      <w:pPr>
        <w:spacing w:before="3" w:line="240" w:lineRule="auto"/>
        <w:ind w:right="13"/>
        <w:jc w:val="both"/>
        <w:outlineLvl w:val="9"/>
        <w:rPr>
          <w:rFonts w:ascii="宋体" w:hAnsi="宋体" w:eastAsia="宋体" w:cs="宋体"/>
          <w:b/>
          <w:bCs/>
          <w:color w:val="auto"/>
          <w:sz w:val="32"/>
          <w:szCs w:val="32"/>
          <w:highlight w:val="none"/>
        </w:rPr>
      </w:pPr>
      <w:bookmarkStart w:id="115" w:name="_Toc11241"/>
      <w:bookmarkStart w:id="116" w:name="_Toc21705"/>
      <w:r>
        <w:rPr>
          <w:rFonts w:hint="eastAsia" w:ascii="宋体" w:hAnsi="宋体" w:eastAsia="宋体" w:cs="宋体"/>
          <w:b/>
          <w:bCs/>
          <w:color w:val="auto"/>
          <w:sz w:val="32"/>
          <w:szCs w:val="32"/>
          <w:highlight w:val="none"/>
        </w:rPr>
        <w:t>四、具有良好的商业信誉和健全的财务会计制度的证明材料</w:t>
      </w:r>
      <w:bookmarkEnd w:id="115"/>
      <w:bookmarkEnd w:id="116"/>
      <w:r>
        <w:rPr>
          <w:rFonts w:hint="eastAsia" w:ascii="宋体" w:hAnsi="宋体" w:eastAsia="宋体" w:cs="宋体"/>
          <w:b/>
          <w:bCs/>
          <w:color w:val="auto"/>
          <w:sz w:val="32"/>
          <w:szCs w:val="32"/>
          <w:highlight w:val="none"/>
        </w:rPr>
        <w:t xml:space="preserve"> </w:t>
      </w:r>
    </w:p>
    <w:p w14:paraId="7C305414">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47191B26">
      <w:pPr>
        <w:spacing w:line="240" w:lineRule="auto"/>
        <w:rPr>
          <w:color w:val="auto"/>
          <w:highlight w:val="none"/>
        </w:rPr>
      </w:pPr>
    </w:p>
    <w:p w14:paraId="4994EFA7">
      <w:pPr>
        <w:spacing w:before="3" w:line="240" w:lineRule="auto"/>
        <w:ind w:right="13"/>
        <w:jc w:val="both"/>
        <w:outlineLvl w:val="9"/>
        <w:rPr>
          <w:rFonts w:ascii="宋体" w:hAnsi="宋体" w:eastAsia="宋体" w:cs="宋体"/>
          <w:b/>
          <w:bCs/>
          <w:color w:val="auto"/>
          <w:sz w:val="32"/>
          <w:szCs w:val="32"/>
          <w:highlight w:val="none"/>
        </w:rPr>
      </w:pPr>
      <w:bookmarkStart w:id="117" w:name="_Toc272"/>
      <w:bookmarkStart w:id="118" w:name="_Toc21468"/>
      <w:r>
        <w:rPr>
          <w:rFonts w:hint="eastAsia" w:ascii="宋体" w:hAnsi="宋体" w:eastAsia="宋体" w:cs="宋体"/>
          <w:b/>
          <w:bCs/>
          <w:color w:val="auto"/>
          <w:sz w:val="32"/>
          <w:szCs w:val="32"/>
          <w:highlight w:val="none"/>
        </w:rPr>
        <w:t xml:space="preserve">五、具有履行合同所必需的设备和专业技术能力的证明材料 </w:t>
      </w:r>
      <w:r>
        <w:rPr>
          <w:rFonts w:hint="eastAsia" w:ascii="宋体" w:hAnsi="宋体" w:eastAsia="宋体" w:cs="宋体"/>
          <w:color w:val="auto"/>
          <w:sz w:val="24"/>
          <w:szCs w:val="24"/>
          <w:highlight w:val="none"/>
        </w:rPr>
        <w:t>(根据招标文件第五章要求提供)</w:t>
      </w:r>
      <w:bookmarkEnd w:id="117"/>
      <w:bookmarkEnd w:id="118"/>
    </w:p>
    <w:p w14:paraId="76D79AD4">
      <w:pPr>
        <w:spacing w:line="240" w:lineRule="auto"/>
        <w:rPr>
          <w:color w:val="auto"/>
          <w:highlight w:val="none"/>
        </w:rPr>
      </w:pPr>
    </w:p>
    <w:p w14:paraId="74D1595D">
      <w:pPr>
        <w:spacing w:before="3" w:line="240" w:lineRule="auto"/>
        <w:ind w:right="13"/>
        <w:jc w:val="both"/>
        <w:outlineLvl w:val="9"/>
        <w:rPr>
          <w:rFonts w:ascii="宋体" w:hAnsi="宋体" w:eastAsia="宋体" w:cs="宋体"/>
          <w:b/>
          <w:bCs/>
          <w:color w:val="auto"/>
          <w:sz w:val="32"/>
          <w:szCs w:val="32"/>
          <w:highlight w:val="none"/>
        </w:rPr>
      </w:pPr>
      <w:bookmarkStart w:id="119" w:name="_Toc13755"/>
      <w:bookmarkStart w:id="120" w:name="_Toc3675"/>
      <w:r>
        <w:rPr>
          <w:rFonts w:hint="eastAsia" w:ascii="宋体" w:hAnsi="宋体" w:eastAsia="宋体" w:cs="宋体"/>
          <w:b/>
          <w:bCs/>
          <w:color w:val="auto"/>
          <w:sz w:val="32"/>
          <w:szCs w:val="32"/>
          <w:highlight w:val="none"/>
        </w:rPr>
        <w:t>六、有依法缴纳税收和社会保障资金的良好记录的证明材料</w:t>
      </w:r>
      <w:bookmarkEnd w:id="119"/>
      <w:bookmarkEnd w:id="120"/>
    </w:p>
    <w:p w14:paraId="0021DD96">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2E41B7C8">
      <w:pPr>
        <w:pStyle w:val="2"/>
        <w:spacing w:line="240" w:lineRule="auto"/>
        <w:rPr>
          <w:color w:val="auto"/>
          <w:highlight w:val="none"/>
        </w:rPr>
      </w:pPr>
    </w:p>
    <w:p w14:paraId="1FC8290E">
      <w:pPr>
        <w:spacing w:before="3" w:line="240" w:lineRule="auto"/>
        <w:ind w:right="13"/>
        <w:jc w:val="both"/>
        <w:outlineLvl w:val="9"/>
        <w:rPr>
          <w:rFonts w:ascii="宋体" w:hAnsi="宋体" w:eastAsia="宋体" w:cs="宋体"/>
          <w:b/>
          <w:bCs/>
          <w:color w:val="auto"/>
          <w:sz w:val="32"/>
          <w:szCs w:val="32"/>
          <w:highlight w:val="none"/>
        </w:rPr>
      </w:pPr>
      <w:bookmarkStart w:id="121" w:name="_Toc18660"/>
      <w:bookmarkStart w:id="122" w:name="_Toc22346"/>
      <w:r>
        <w:rPr>
          <w:rFonts w:hint="eastAsia" w:ascii="宋体" w:hAnsi="宋体" w:eastAsia="宋体" w:cs="宋体"/>
          <w:b/>
          <w:bCs/>
          <w:color w:val="auto"/>
          <w:sz w:val="32"/>
          <w:szCs w:val="32"/>
          <w:highlight w:val="none"/>
        </w:rPr>
        <w:t>七、参加本次采购活动前三年内，在经营活动中没有重大违法记录的证明材料</w:t>
      </w:r>
      <w:bookmarkEnd w:id="121"/>
      <w:bookmarkEnd w:id="122"/>
      <w:r>
        <w:rPr>
          <w:rFonts w:hint="eastAsia" w:ascii="宋体" w:hAnsi="宋体" w:eastAsia="宋体" w:cs="宋体"/>
          <w:b/>
          <w:bCs/>
          <w:color w:val="auto"/>
          <w:sz w:val="32"/>
          <w:szCs w:val="32"/>
          <w:highlight w:val="none"/>
        </w:rPr>
        <w:t xml:space="preserve"> </w:t>
      </w:r>
    </w:p>
    <w:p w14:paraId="608908E9">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47589F3D">
      <w:pPr>
        <w:pStyle w:val="2"/>
        <w:spacing w:line="240" w:lineRule="auto"/>
        <w:rPr>
          <w:color w:val="auto"/>
          <w:highlight w:val="none"/>
        </w:rPr>
      </w:pPr>
    </w:p>
    <w:p w14:paraId="4C5E5C49">
      <w:pPr>
        <w:spacing w:before="3" w:line="240" w:lineRule="auto"/>
        <w:ind w:right="13"/>
        <w:jc w:val="both"/>
        <w:outlineLvl w:val="9"/>
        <w:rPr>
          <w:rFonts w:ascii="宋体" w:hAnsi="宋体" w:eastAsia="宋体" w:cs="宋体"/>
          <w:b/>
          <w:bCs/>
          <w:color w:val="auto"/>
          <w:sz w:val="32"/>
          <w:szCs w:val="32"/>
          <w:highlight w:val="none"/>
        </w:rPr>
      </w:pPr>
      <w:bookmarkStart w:id="123" w:name="_Toc21320"/>
      <w:bookmarkStart w:id="124" w:name="_Toc29820"/>
      <w:r>
        <w:rPr>
          <w:rFonts w:hint="eastAsia" w:ascii="宋体" w:hAnsi="宋体" w:eastAsia="宋体" w:cs="宋体"/>
          <w:b/>
          <w:bCs/>
          <w:color w:val="auto"/>
          <w:sz w:val="32"/>
          <w:szCs w:val="32"/>
          <w:highlight w:val="none"/>
        </w:rPr>
        <w:t>八、具备法律、行政法规规定的其他条件的承诺函</w:t>
      </w:r>
      <w:bookmarkEnd w:id="123"/>
      <w:bookmarkEnd w:id="124"/>
      <w:r>
        <w:rPr>
          <w:rFonts w:hint="eastAsia" w:ascii="宋体" w:hAnsi="宋体" w:eastAsia="宋体" w:cs="宋体"/>
          <w:b/>
          <w:bCs/>
          <w:color w:val="auto"/>
          <w:sz w:val="32"/>
          <w:szCs w:val="32"/>
          <w:highlight w:val="none"/>
        </w:rPr>
        <w:t xml:space="preserve"> </w:t>
      </w:r>
    </w:p>
    <w:p w14:paraId="6EC98627">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74F3D038">
      <w:pPr>
        <w:spacing w:line="240" w:lineRule="auto"/>
        <w:rPr>
          <w:color w:val="auto"/>
          <w:highlight w:val="none"/>
        </w:rPr>
      </w:pPr>
    </w:p>
    <w:p w14:paraId="6F78DF69">
      <w:pPr>
        <w:spacing w:before="3" w:line="240" w:lineRule="auto"/>
        <w:ind w:right="13"/>
        <w:jc w:val="both"/>
        <w:outlineLvl w:val="9"/>
        <w:rPr>
          <w:color w:val="auto"/>
          <w:highlight w:val="none"/>
        </w:rPr>
      </w:pPr>
      <w:bookmarkStart w:id="125" w:name="_Toc5524"/>
      <w:bookmarkStart w:id="126" w:name="_Toc24048"/>
      <w:r>
        <w:rPr>
          <w:rFonts w:hint="eastAsia" w:ascii="宋体" w:hAnsi="宋体" w:eastAsia="宋体" w:cs="宋体"/>
          <w:b/>
          <w:bCs/>
          <w:color w:val="auto"/>
          <w:sz w:val="32"/>
          <w:szCs w:val="32"/>
          <w:highlight w:val="none"/>
        </w:rPr>
        <w:t>九、第五章规定的其他相关证明材料 (格式自拟) ……</w:t>
      </w:r>
      <w:bookmarkEnd w:id="125"/>
      <w:bookmarkEnd w:id="126"/>
      <w:r>
        <w:rPr>
          <w:color w:val="auto"/>
          <w:highlight w:val="none"/>
        </w:rPr>
        <w:br w:type="page"/>
      </w:r>
    </w:p>
    <w:p w14:paraId="3A671F01">
      <w:pPr>
        <w:spacing w:before="59" w:line="240" w:lineRule="auto"/>
        <w:ind w:left="2601"/>
        <w:outlineLvl w:val="9"/>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其他</w:t>
      </w:r>
      <w:bookmarkStart w:id="127" w:name="_Toc26162"/>
      <w:bookmarkStart w:id="128" w:name="_Toc8237"/>
      <w:r>
        <w:rPr>
          <w:rFonts w:hint="eastAsia" w:ascii="宋体" w:hAnsi="宋体" w:eastAsia="宋体" w:cs="宋体"/>
          <w:b/>
          <w:bCs/>
          <w:color w:val="auto"/>
          <w:sz w:val="32"/>
          <w:szCs w:val="32"/>
          <w:highlight w:val="none"/>
        </w:rPr>
        <w:t>响应性投标文件封面</w:t>
      </w:r>
      <w:bookmarkEnd w:id="127"/>
      <w:bookmarkEnd w:id="128"/>
    </w:p>
    <w:p w14:paraId="5D250098">
      <w:pPr>
        <w:spacing w:line="240" w:lineRule="auto"/>
        <w:rPr>
          <w:color w:val="auto"/>
          <w:highlight w:val="none"/>
        </w:rPr>
      </w:pPr>
    </w:p>
    <w:p w14:paraId="1C4BD628">
      <w:pPr>
        <w:spacing w:line="240" w:lineRule="auto"/>
        <w:rPr>
          <w:color w:val="auto"/>
          <w:highlight w:val="none"/>
        </w:rPr>
      </w:pPr>
    </w:p>
    <w:p w14:paraId="44BA393C">
      <w:pPr>
        <w:spacing w:line="240" w:lineRule="auto"/>
        <w:rPr>
          <w:color w:val="auto"/>
          <w:highlight w:val="none"/>
        </w:rPr>
      </w:pPr>
    </w:p>
    <w:p w14:paraId="5EC13EA6">
      <w:pPr>
        <w:spacing w:line="240" w:lineRule="auto"/>
        <w:rPr>
          <w:color w:val="auto"/>
          <w:highlight w:val="none"/>
        </w:rPr>
      </w:pPr>
    </w:p>
    <w:p w14:paraId="56F9C513">
      <w:pPr>
        <w:spacing w:line="240" w:lineRule="auto"/>
        <w:rPr>
          <w:color w:val="auto"/>
          <w:highlight w:val="none"/>
        </w:rPr>
      </w:pPr>
    </w:p>
    <w:p w14:paraId="6A9D6337">
      <w:pPr>
        <w:spacing w:line="240" w:lineRule="auto"/>
        <w:rPr>
          <w:color w:val="auto"/>
          <w:highlight w:val="none"/>
        </w:rPr>
      </w:pPr>
    </w:p>
    <w:tbl>
      <w:tblPr>
        <w:tblStyle w:val="23"/>
        <w:tblW w:w="1640" w:type="dxa"/>
        <w:tblInd w:w="65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40"/>
      </w:tblGrid>
      <w:tr w14:paraId="4CF594A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6" w:hRule="atLeast"/>
        </w:trPr>
        <w:tc>
          <w:tcPr>
            <w:tcW w:w="1640" w:type="dxa"/>
          </w:tcPr>
          <w:p w14:paraId="131A6C8A">
            <w:pPr>
              <w:spacing w:before="58" w:line="240" w:lineRule="auto"/>
              <w:ind w:left="206"/>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2FFF761C">
      <w:pPr>
        <w:spacing w:line="240" w:lineRule="auto"/>
        <w:rPr>
          <w:color w:val="auto"/>
          <w:highlight w:val="none"/>
        </w:rPr>
      </w:pPr>
    </w:p>
    <w:p w14:paraId="3409BB67">
      <w:pPr>
        <w:spacing w:before="3" w:line="240" w:lineRule="auto"/>
        <w:ind w:right="13"/>
        <w:jc w:val="center"/>
        <w:rPr>
          <w:rFonts w:ascii="宋体" w:hAnsi="宋体" w:eastAsia="宋体" w:cs="宋体"/>
          <w:b/>
          <w:bCs/>
          <w:color w:val="auto"/>
          <w:sz w:val="44"/>
          <w:szCs w:val="44"/>
          <w:highlight w:val="none"/>
        </w:rPr>
      </w:pPr>
    </w:p>
    <w:p w14:paraId="44319545">
      <w:pPr>
        <w:spacing w:before="3" w:line="240" w:lineRule="auto"/>
        <w:ind w:right="13"/>
        <w:jc w:val="center"/>
        <w:outlineLvl w:val="1"/>
        <w:rPr>
          <w:rFonts w:ascii="宋体" w:hAnsi="宋体" w:eastAsia="宋体" w:cs="宋体"/>
          <w:b/>
          <w:bCs/>
          <w:color w:val="auto"/>
          <w:sz w:val="44"/>
          <w:szCs w:val="44"/>
          <w:highlight w:val="none"/>
        </w:rPr>
      </w:pPr>
      <w:bookmarkStart w:id="129" w:name="_Toc21452"/>
      <w:bookmarkStart w:id="130" w:name="_Toc2069"/>
      <w:r>
        <w:rPr>
          <w:rFonts w:hint="eastAsia" w:ascii="宋体" w:hAnsi="宋体" w:eastAsia="宋体" w:cs="宋体"/>
          <w:b/>
          <w:bCs/>
          <w:color w:val="auto"/>
          <w:sz w:val="44"/>
          <w:szCs w:val="44"/>
          <w:highlight w:val="none"/>
        </w:rPr>
        <w:t>第二部分：其他响应性投标文件</w:t>
      </w:r>
      <w:bookmarkEnd w:id="129"/>
      <w:bookmarkEnd w:id="130"/>
    </w:p>
    <w:p w14:paraId="6E504782">
      <w:pPr>
        <w:spacing w:line="240" w:lineRule="auto"/>
        <w:rPr>
          <w:color w:val="auto"/>
          <w:highlight w:val="none"/>
        </w:rPr>
      </w:pPr>
    </w:p>
    <w:p w14:paraId="746D5ECA">
      <w:pPr>
        <w:spacing w:line="240" w:lineRule="auto"/>
        <w:rPr>
          <w:color w:val="auto"/>
          <w:highlight w:val="none"/>
        </w:rPr>
      </w:pPr>
    </w:p>
    <w:p w14:paraId="571D704E">
      <w:pPr>
        <w:spacing w:line="240" w:lineRule="auto"/>
        <w:rPr>
          <w:color w:val="auto"/>
          <w:highlight w:val="none"/>
        </w:rPr>
      </w:pPr>
    </w:p>
    <w:p w14:paraId="61265BD2">
      <w:pPr>
        <w:pStyle w:val="2"/>
        <w:spacing w:line="240" w:lineRule="auto"/>
        <w:rPr>
          <w:color w:val="auto"/>
          <w:highlight w:val="none"/>
        </w:rPr>
      </w:pPr>
    </w:p>
    <w:p w14:paraId="4B1A5315">
      <w:pPr>
        <w:spacing w:line="240" w:lineRule="auto"/>
        <w:rPr>
          <w:color w:val="auto"/>
          <w:highlight w:val="none"/>
        </w:rPr>
      </w:pPr>
    </w:p>
    <w:p w14:paraId="234332F8">
      <w:pPr>
        <w:spacing w:line="240" w:lineRule="auto"/>
        <w:rPr>
          <w:color w:val="auto"/>
          <w:highlight w:val="none"/>
        </w:rPr>
      </w:pPr>
    </w:p>
    <w:p w14:paraId="6D9D2940">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71FCED7C">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eastAsia="zh-CN"/>
        </w:rPr>
        <w:t>项目编号</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43B6141D">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38A4B3A7">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1C42B9A4">
      <w:pPr>
        <w:spacing w:before="3" w:line="240" w:lineRule="auto"/>
        <w:ind w:left="23" w:right="13" w:firstLine="482"/>
        <w:jc w:val="center"/>
        <w:rPr>
          <w:rFonts w:ascii="宋体" w:hAnsi="宋体" w:eastAsia="宋体" w:cs="宋体"/>
          <w:b/>
          <w:bCs/>
          <w:color w:val="auto"/>
          <w:spacing w:val="18"/>
          <w:sz w:val="32"/>
          <w:szCs w:val="32"/>
          <w:highlight w:val="none"/>
        </w:rPr>
      </w:pPr>
    </w:p>
    <w:p w14:paraId="4CEC5FE2">
      <w:pPr>
        <w:spacing w:before="3" w:line="240" w:lineRule="auto"/>
        <w:ind w:left="23" w:right="13" w:firstLine="482"/>
        <w:jc w:val="center"/>
        <w:rPr>
          <w:rFonts w:ascii="宋体" w:hAnsi="宋体" w:eastAsia="宋体" w:cs="宋体"/>
          <w:b/>
          <w:bCs/>
          <w:color w:val="auto"/>
          <w:spacing w:val="18"/>
          <w:sz w:val="32"/>
          <w:szCs w:val="32"/>
          <w:highlight w:val="none"/>
        </w:rPr>
      </w:pPr>
    </w:p>
    <w:p w14:paraId="04F7F858">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32E8E7C6">
      <w:pPr>
        <w:spacing w:line="240" w:lineRule="auto"/>
        <w:rPr>
          <w:color w:val="auto"/>
          <w:highlight w:val="none"/>
        </w:rPr>
      </w:pPr>
    </w:p>
    <w:p w14:paraId="3F9F17D9">
      <w:pPr>
        <w:pStyle w:val="2"/>
        <w:spacing w:line="240" w:lineRule="auto"/>
        <w:rPr>
          <w:color w:val="auto"/>
          <w:highlight w:val="none"/>
        </w:rPr>
      </w:pPr>
    </w:p>
    <w:p w14:paraId="0054306B">
      <w:pPr>
        <w:spacing w:line="240" w:lineRule="auto"/>
        <w:rPr>
          <w:color w:val="auto"/>
          <w:highlight w:val="none"/>
        </w:rPr>
      </w:pPr>
    </w:p>
    <w:p w14:paraId="5AD31301">
      <w:pPr>
        <w:pStyle w:val="2"/>
        <w:spacing w:line="240" w:lineRule="auto"/>
        <w:rPr>
          <w:color w:val="auto"/>
          <w:highlight w:val="none"/>
        </w:rPr>
      </w:pPr>
    </w:p>
    <w:p w14:paraId="06521DE2">
      <w:pPr>
        <w:spacing w:line="240" w:lineRule="auto"/>
        <w:rPr>
          <w:color w:val="auto"/>
          <w:highlight w:val="none"/>
        </w:rPr>
      </w:pPr>
    </w:p>
    <w:p w14:paraId="4CF3F5FB">
      <w:pPr>
        <w:pStyle w:val="2"/>
        <w:spacing w:line="240" w:lineRule="auto"/>
        <w:rPr>
          <w:color w:val="auto"/>
          <w:highlight w:val="none"/>
        </w:rPr>
      </w:pPr>
    </w:p>
    <w:p w14:paraId="31181BDC">
      <w:pPr>
        <w:spacing w:line="240" w:lineRule="auto"/>
        <w:rPr>
          <w:color w:val="auto"/>
          <w:highlight w:val="none"/>
        </w:rPr>
      </w:pPr>
    </w:p>
    <w:p w14:paraId="2E58F49D">
      <w:pPr>
        <w:pStyle w:val="2"/>
        <w:spacing w:line="240" w:lineRule="auto"/>
        <w:rPr>
          <w:color w:val="auto"/>
          <w:highlight w:val="none"/>
        </w:rPr>
      </w:pPr>
    </w:p>
    <w:p w14:paraId="7B042025">
      <w:pPr>
        <w:pStyle w:val="2"/>
        <w:spacing w:line="240" w:lineRule="auto"/>
        <w:rPr>
          <w:color w:val="auto"/>
          <w:highlight w:val="none"/>
        </w:rPr>
      </w:pPr>
    </w:p>
    <w:p w14:paraId="0CBEA634">
      <w:pPr>
        <w:spacing w:line="240" w:lineRule="auto"/>
        <w:rPr>
          <w:color w:val="auto"/>
          <w:highlight w:val="none"/>
        </w:rPr>
        <w:sectPr>
          <w:headerReference r:id="rId15" w:type="default"/>
          <w:footerReference r:id="rId16" w:type="default"/>
          <w:pgSz w:w="11905" w:h="16838"/>
          <w:pgMar w:top="1417" w:right="1417" w:bottom="1417" w:left="1417" w:header="0" w:footer="1134" w:gutter="0"/>
          <w:cols w:space="425" w:num="1"/>
        </w:sectPr>
      </w:pPr>
    </w:p>
    <w:p w14:paraId="332C8DEF">
      <w:pPr>
        <w:spacing w:before="3" w:line="240" w:lineRule="auto"/>
        <w:ind w:right="13"/>
        <w:jc w:val="center"/>
        <w:outlineLvl w:val="9"/>
        <w:rPr>
          <w:rFonts w:ascii="宋体" w:hAnsi="宋体" w:eastAsia="宋体" w:cs="宋体"/>
          <w:b/>
          <w:bCs/>
          <w:color w:val="auto"/>
          <w:sz w:val="32"/>
          <w:szCs w:val="32"/>
          <w:highlight w:val="none"/>
        </w:rPr>
      </w:pPr>
      <w:bookmarkStart w:id="131" w:name="_Toc25280"/>
      <w:bookmarkStart w:id="132" w:name="_Toc10013"/>
    </w:p>
    <w:p w14:paraId="5B876ACA">
      <w:pPr>
        <w:spacing w:before="0" w:line="240" w:lineRule="auto"/>
        <w:ind w:right="0"/>
        <w:jc w:val="left"/>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8160B70">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一、投 标 函 (实质性要求)</w:t>
      </w:r>
      <w:bookmarkEnd w:id="131"/>
      <w:bookmarkEnd w:id="132"/>
    </w:p>
    <w:p w14:paraId="5BD56AD6">
      <w:pPr>
        <w:spacing w:line="240" w:lineRule="auto"/>
        <w:ind w:left="14"/>
        <w:rPr>
          <w:rFonts w:ascii="宋体" w:hAnsi="宋体" w:eastAsia="宋体" w:cs="宋体"/>
          <w:color w:val="auto"/>
          <w:spacing w:val="6"/>
          <w:sz w:val="23"/>
          <w:szCs w:val="23"/>
          <w:highlight w:val="none"/>
        </w:rPr>
      </w:pPr>
    </w:p>
    <w:p w14:paraId="7E9507D0">
      <w:pPr>
        <w:spacing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_________________</w:t>
      </w:r>
      <w:r>
        <w:rPr>
          <w:rFonts w:hint="eastAsia" w:ascii="宋体" w:hAnsi="宋体" w:eastAsia="宋体" w:cs="宋体"/>
          <w:color w:val="auto"/>
          <w:spacing w:val="6"/>
          <w:sz w:val="24"/>
          <w:szCs w:val="24"/>
          <w:highlight w:val="none"/>
        </w:rPr>
        <w:t>(招标代理机构名称)：</w:t>
      </w:r>
    </w:p>
    <w:p w14:paraId="50776BA0">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我方全面研究了“</w:t>
      </w:r>
      <w:r>
        <w:rPr>
          <w:rFonts w:ascii="宋体" w:hAnsi="宋体" w:eastAsia="宋体" w:cs="宋体"/>
          <w:color w:val="auto"/>
          <w:spacing w:val="-1"/>
          <w:sz w:val="24"/>
          <w:szCs w:val="24"/>
          <w:highlight w:val="none"/>
        </w:rPr>
        <w:t xml:space="preserve">_________________ </w:t>
      </w:r>
      <w:r>
        <w:rPr>
          <w:rFonts w:hint="eastAsia" w:ascii="宋体" w:hAnsi="宋体" w:eastAsia="宋体" w:cs="宋体"/>
          <w:color w:val="auto"/>
          <w:spacing w:val="6"/>
          <w:sz w:val="24"/>
          <w:szCs w:val="24"/>
          <w:highlight w:val="none"/>
        </w:rPr>
        <w:t>”项目(</w:t>
      </w:r>
      <w:r>
        <w:rPr>
          <w:rFonts w:hint="eastAsia" w:ascii="宋体" w:hAnsi="宋体" w:eastAsia="宋体" w:cs="宋体"/>
          <w:color w:val="auto"/>
          <w:spacing w:val="6"/>
          <w:sz w:val="24"/>
          <w:szCs w:val="24"/>
          <w:highlight w:val="none"/>
          <w:lang w:eastAsia="zh-CN"/>
        </w:rPr>
        <w:t>项目编号</w:t>
      </w:r>
      <w:r>
        <w:rPr>
          <w:rFonts w:hint="eastAsia"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)招标文件，决定参加贵单位组织的本项目投标。我方授权</w:t>
      </w:r>
      <w:r>
        <w:rPr>
          <w:rFonts w:ascii="宋体" w:hAnsi="宋体" w:eastAsia="宋体" w:cs="宋体"/>
          <w:color w:val="auto"/>
          <w:spacing w:val="3"/>
          <w:sz w:val="24"/>
          <w:szCs w:val="24"/>
          <w:highlight w:val="none"/>
        </w:rPr>
        <w:t xml:space="preserve">_________________ </w:t>
      </w:r>
      <w:r>
        <w:rPr>
          <w:rFonts w:hint="eastAsia" w:ascii="宋体" w:hAnsi="宋体" w:eastAsia="宋体" w:cs="宋体"/>
          <w:color w:val="auto"/>
          <w:spacing w:val="6"/>
          <w:sz w:val="24"/>
          <w:szCs w:val="24"/>
          <w:highlight w:val="none"/>
        </w:rPr>
        <w:t>(姓名、职务) 代表我方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(投标单位的名称)全权处理本项目投标的有关事宜。</w:t>
      </w:r>
    </w:p>
    <w:p w14:paraId="10ED54AD">
      <w:pPr>
        <w:spacing w:line="240" w:lineRule="auto"/>
        <w:ind w:left="24" w:right="13" w:firstLine="47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一、我方自愿按照招标文件规定的各项要求向招标人提供所需</w:t>
      </w:r>
      <w:r>
        <w:rPr>
          <w:rFonts w:hint="eastAsia" w:ascii="宋体" w:hAnsi="宋体" w:eastAsia="宋体" w:cs="宋体"/>
          <w:color w:val="auto"/>
          <w:spacing w:val="6"/>
          <w:sz w:val="24"/>
          <w:szCs w:val="24"/>
          <w:highlight w:val="none"/>
          <w:lang w:val="en-US" w:eastAsia="zh-CN"/>
        </w:rPr>
        <w:t>的货物或</w:t>
      </w:r>
      <w:r>
        <w:rPr>
          <w:rFonts w:hint="eastAsia" w:ascii="宋体" w:hAnsi="宋体" w:eastAsia="宋体" w:cs="宋体"/>
          <w:color w:val="auto"/>
          <w:spacing w:val="6"/>
          <w:sz w:val="24"/>
          <w:szCs w:val="24"/>
          <w:highlight w:val="none"/>
        </w:rPr>
        <w:t>服务</w:t>
      </w:r>
      <w:r>
        <w:rPr>
          <w:rFonts w:hint="eastAsia" w:ascii="宋体" w:hAnsi="宋体" w:eastAsia="宋体" w:cs="宋体"/>
          <w:color w:val="auto"/>
          <w:spacing w:val="6"/>
          <w:sz w:val="24"/>
          <w:szCs w:val="24"/>
          <w:highlight w:val="none"/>
          <w:lang w:eastAsia="zh-CN"/>
        </w:rPr>
        <w:t>。</w:t>
      </w:r>
    </w:p>
    <w:p w14:paraId="4A64BAFF">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二、一旦我方中标，我方将严格履行采购合同规定的责任和义务。</w:t>
      </w:r>
    </w:p>
    <w:p w14:paraId="2B2CA6EC">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三、我方为本项目提交的资格性投标文件正本1份副本</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份，其他响应性投标文件正本1份副本</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份，电子文档1份。</w:t>
      </w:r>
    </w:p>
    <w:p w14:paraId="40A18AC8">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四、我方已知晓全部招标文件的内容，包括修改文件（如有）以及全部相关资料和有关附件，并对上述文件均无异议。</w:t>
      </w:r>
    </w:p>
    <w:p w14:paraId="66AC6EC5">
      <w:pPr>
        <w:spacing w:line="240" w:lineRule="auto"/>
        <w:ind w:left="24" w:right="13" w:firstLine="471"/>
        <w:rPr>
          <w:rFonts w:ascii="宋体" w:hAnsi="宋体" w:eastAsia="宋体" w:cs="宋体"/>
          <w:color w:val="auto"/>
          <w:spacing w:val="6"/>
          <w:sz w:val="24"/>
          <w:szCs w:val="24"/>
          <w:highlight w:val="none"/>
        </w:rPr>
      </w:pPr>
      <w:bookmarkStart w:id="133" w:name="_Toc2829"/>
      <w:bookmarkStart w:id="134" w:name="_Toc1308"/>
      <w:r>
        <w:rPr>
          <w:rFonts w:hint="eastAsia" w:ascii="宋体" w:hAnsi="宋体" w:eastAsia="宋体" w:cs="宋体"/>
          <w:color w:val="auto"/>
          <w:spacing w:val="6"/>
          <w:sz w:val="24"/>
          <w:szCs w:val="24"/>
          <w:highlight w:val="none"/>
        </w:rPr>
        <w:t>五、我方同意本次招标的投标有效期为投标截止之日起90天。</w:t>
      </w:r>
      <w:bookmarkEnd w:id="133"/>
      <w:bookmarkEnd w:id="134"/>
    </w:p>
    <w:p w14:paraId="010EACB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六、我方愿意提供贵单位可能另外要求的，与投标有关的文件资料，并保证我方已提供和将要提供的文件资料是真实、准确的。</w:t>
      </w:r>
    </w:p>
    <w:p w14:paraId="16A1F80F">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七、我方完全理解招标人不一定将合同授予最低报价的投标人的行为。</w:t>
      </w:r>
    </w:p>
    <w:p w14:paraId="2DED6970">
      <w:pPr>
        <w:spacing w:line="240" w:lineRule="auto"/>
        <w:rPr>
          <w:color w:val="auto"/>
          <w:sz w:val="24"/>
          <w:szCs w:val="24"/>
          <w:highlight w:val="none"/>
        </w:rPr>
      </w:pPr>
    </w:p>
    <w:p w14:paraId="484969D3">
      <w:pPr>
        <w:spacing w:line="240" w:lineRule="auto"/>
        <w:rPr>
          <w:color w:val="auto"/>
          <w:sz w:val="24"/>
          <w:szCs w:val="24"/>
          <w:highlight w:val="none"/>
        </w:rPr>
      </w:pPr>
    </w:p>
    <w:p w14:paraId="4DAAF17A">
      <w:pPr>
        <w:spacing w:line="240" w:lineRule="auto"/>
        <w:rPr>
          <w:color w:val="auto"/>
          <w:sz w:val="24"/>
          <w:szCs w:val="24"/>
          <w:highlight w:val="none"/>
        </w:rPr>
      </w:pPr>
    </w:p>
    <w:p w14:paraId="2538564E">
      <w:pPr>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(盖单位公章)</w:t>
      </w:r>
    </w:p>
    <w:p w14:paraId="2DF28073">
      <w:pPr>
        <w:spacing w:before="77" w:line="240" w:lineRule="auto"/>
        <w:ind w:left="493" w:right="410"/>
        <w:rPr>
          <w:rFonts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法定代表人/单位负责人或授权代表(签字或加盖个人名章)：</w:t>
      </w:r>
      <w:r>
        <w:rPr>
          <w:rFonts w:hint="eastAsia" w:ascii="宋体" w:hAnsi="宋体" w:eastAsia="宋体" w:cs="宋体"/>
          <w:color w:val="auto"/>
          <w:spacing w:val="6"/>
          <w:sz w:val="24"/>
          <w:szCs w:val="24"/>
          <w:highlight w:val="none"/>
          <w:u w:val="single"/>
        </w:rPr>
        <w:t xml:space="preserve">     </w:t>
      </w:r>
      <w:r>
        <w:rPr>
          <w:rFonts w:ascii="宋体" w:hAnsi="宋体" w:eastAsia="宋体" w:cs="宋体"/>
          <w:color w:val="auto"/>
          <w:spacing w:val="4"/>
          <w:sz w:val="24"/>
          <w:szCs w:val="24"/>
          <w:highlight w:val="none"/>
        </w:rPr>
        <w:t xml:space="preserve"> </w:t>
      </w:r>
    </w:p>
    <w:p w14:paraId="53551AAC">
      <w:pPr>
        <w:spacing w:before="77" w:line="240" w:lineRule="auto"/>
        <w:ind w:left="493" w:right="41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通讯地址：</w:t>
      </w:r>
      <w:r>
        <w:rPr>
          <w:rFonts w:ascii="宋体" w:hAnsi="宋体" w:eastAsia="宋体" w:cs="宋体"/>
          <w:color w:val="auto"/>
          <w:sz w:val="24"/>
          <w:szCs w:val="24"/>
          <w:highlight w:val="none"/>
          <w:u w:val="single"/>
        </w:rPr>
        <w:t xml:space="preserve">                  </w:t>
      </w:r>
    </w:p>
    <w:p w14:paraId="0A435E67">
      <w:pPr>
        <w:spacing w:before="1" w:line="240" w:lineRule="auto"/>
        <w:ind w:left="51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邮政编码</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rPr>
        <w:t xml:space="preserve">                  </w:t>
      </w:r>
    </w:p>
    <w:p w14:paraId="2856BCA1">
      <w:pPr>
        <w:spacing w:before="76" w:line="240" w:lineRule="auto"/>
        <w:ind w:left="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联系电话：</w:t>
      </w:r>
      <w:r>
        <w:rPr>
          <w:rFonts w:ascii="宋体" w:hAnsi="宋体" w:eastAsia="宋体" w:cs="宋体"/>
          <w:color w:val="auto"/>
          <w:sz w:val="24"/>
          <w:szCs w:val="24"/>
          <w:highlight w:val="none"/>
          <w:u w:val="single"/>
        </w:rPr>
        <w:t xml:space="preserve">                  </w:t>
      </w:r>
    </w:p>
    <w:p w14:paraId="79ABB45D">
      <w:pPr>
        <w:spacing w:before="74" w:line="240" w:lineRule="auto"/>
        <w:ind w:left="49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传    真 ：</w:t>
      </w:r>
      <w:r>
        <w:rPr>
          <w:rFonts w:ascii="宋体" w:hAnsi="宋体" w:eastAsia="宋体" w:cs="宋体"/>
          <w:color w:val="auto"/>
          <w:sz w:val="24"/>
          <w:szCs w:val="24"/>
          <w:highlight w:val="none"/>
          <w:u w:val="single"/>
        </w:rPr>
        <w:t xml:space="preserve">                  </w:t>
      </w:r>
    </w:p>
    <w:p w14:paraId="634B6320">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日    期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日</w:t>
      </w:r>
    </w:p>
    <w:p w14:paraId="4673C89E">
      <w:pPr>
        <w:spacing w:line="240" w:lineRule="auto"/>
        <w:rPr>
          <w:color w:val="auto"/>
          <w:highlight w:val="none"/>
        </w:rPr>
        <w:sectPr>
          <w:headerReference r:id="rId17" w:type="default"/>
          <w:footerReference r:id="rId18" w:type="default"/>
          <w:type w:val="continuous"/>
          <w:pgSz w:w="11905" w:h="16838"/>
          <w:pgMar w:top="1417" w:right="1417" w:bottom="1417" w:left="1417" w:header="0" w:footer="1134" w:gutter="0"/>
          <w:cols w:space="425" w:num="1"/>
        </w:sectPr>
      </w:pPr>
    </w:p>
    <w:p w14:paraId="211EDF2E">
      <w:pPr>
        <w:spacing w:before="3" w:line="240" w:lineRule="auto"/>
        <w:ind w:right="13"/>
        <w:jc w:val="center"/>
        <w:outlineLvl w:val="9"/>
        <w:rPr>
          <w:rFonts w:hint="eastAsia" w:ascii="宋体" w:hAnsi="宋体" w:eastAsia="宋体" w:cs="宋体"/>
          <w:b/>
          <w:bCs/>
          <w:color w:val="auto"/>
          <w:sz w:val="32"/>
          <w:szCs w:val="32"/>
          <w:highlight w:val="none"/>
        </w:rPr>
      </w:pPr>
      <w:bookmarkStart w:id="135" w:name="_Toc3141"/>
      <w:bookmarkStart w:id="136" w:name="_Toc27869"/>
      <w:r>
        <w:rPr>
          <w:rFonts w:hint="eastAsia" w:ascii="宋体" w:hAnsi="宋体" w:eastAsia="宋体" w:cs="宋体"/>
          <w:b/>
          <w:bCs/>
          <w:color w:val="auto"/>
          <w:sz w:val="32"/>
          <w:szCs w:val="32"/>
          <w:highlight w:val="none"/>
        </w:rPr>
        <w:t>二、开标一览表</w:t>
      </w:r>
      <w:bookmarkEnd w:id="135"/>
      <w:bookmarkEnd w:id="136"/>
    </w:p>
    <w:p w14:paraId="7956992C">
      <w:pPr>
        <w:spacing w:before="3" w:line="240" w:lineRule="auto"/>
        <w:ind w:right="13"/>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（本项目不涉及，无需提供）</w:t>
      </w:r>
    </w:p>
    <w:p w14:paraId="727A3848">
      <w:pPr>
        <w:spacing w:before="136" w:line="240" w:lineRule="auto"/>
        <w:ind w:left="594"/>
        <w:rPr>
          <w:rFonts w:ascii="宋体" w:hAnsi="宋体" w:eastAsia="宋体" w:cs="宋体"/>
          <w:color w:val="auto"/>
          <w:spacing w:val="-2"/>
          <w:sz w:val="23"/>
          <w:szCs w:val="23"/>
          <w:highlight w:val="none"/>
        </w:rPr>
      </w:pPr>
    </w:p>
    <w:p w14:paraId="01EF3ADB">
      <w:pPr>
        <w:spacing w:before="78" w:line="240" w:lineRule="auto"/>
        <w:ind w:left="1313"/>
        <w:rPr>
          <w:rFonts w:ascii="宋体" w:hAnsi="宋体" w:eastAsia="宋体" w:cs="宋体"/>
          <w:color w:val="auto"/>
          <w:sz w:val="23"/>
          <w:szCs w:val="23"/>
          <w:highlight w:val="none"/>
        </w:rPr>
      </w:pPr>
    </w:p>
    <w:p w14:paraId="3710F692">
      <w:pPr>
        <w:spacing w:line="240" w:lineRule="auto"/>
        <w:rPr>
          <w:rFonts w:ascii="宋体" w:hAnsi="宋体" w:eastAsia="宋体" w:cs="宋体"/>
          <w:color w:val="auto"/>
          <w:spacing w:val="-2"/>
          <w:sz w:val="23"/>
          <w:szCs w:val="23"/>
          <w:highlight w:val="none"/>
        </w:rPr>
      </w:pPr>
    </w:p>
    <w:p w14:paraId="75D6D2E3">
      <w:pPr>
        <w:pStyle w:val="2"/>
        <w:spacing w:line="240" w:lineRule="auto"/>
        <w:rPr>
          <w:rFonts w:ascii="宋体" w:hAnsi="宋体" w:eastAsia="宋体" w:cs="宋体"/>
          <w:color w:val="auto"/>
          <w:spacing w:val="-2"/>
          <w:sz w:val="23"/>
          <w:szCs w:val="23"/>
          <w:highlight w:val="none"/>
        </w:rPr>
      </w:pPr>
    </w:p>
    <w:p w14:paraId="483FACD6">
      <w:pPr>
        <w:spacing w:line="240" w:lineRule="auto"/>
        <w:rPr>
          <w:rFonts w:ascii="宋体" w:hAnsi="宋体" w:eastAsia="宋体" w:cs="宋体"/>
          <w:color w:val="auto"/>
          <w:spacing w:val="-2"/>
          <w:sz w:val="23"/>
          <w:szCs w:val="23"/>
          <w:highlight w:val="none"/>
        </w:rPr>
      </w:pPr>
    </w:p>
    <w:p w14:paraId="7594A1E4">
      <w:pPr>
        <w:spacing w:line="240" w:lineRule="auto"/>
        <w:rPr>
          <w:rFonts w:ascii="宋体" w:hAnsi="宋体" w:eastAsia="宋体" w:cs="宋体"/>
          <w:color w:val="auto"/>
          <w:spacing w:val="-2"/>
          <w:sz w:val="23"/>
          <w:szCs w:val="23"/>
          <w:highlight w:val="none"/>
        </w:rPr>
      </w:pPr>
    </w:p>
    <w:p w14:paraId="71C4EDD2">
      <w:pPr>
        <w:spacing w:line="240" w:lineRule="auto"/>
        <w:rPr>
          <w:rFonts w:ascii="宋体" w:hAnsi="宋体" w:eastAsia="宋体" w:cs="宋体"/>
          <w:color w:val="auto"/>
          <w:spacing w:val="-2"/>
          <w:sz w:val="23"/>
          <w:szCs w:val="23"/>
          <w:highlight w:val="none"/>
        </w:rPr>
      </w:pPr>
    </w:p>
    <w:p w14:paraId="673F4C8D">
      <w:pPr>
        <w:spacing w:line="240" w:lineRule="auto"/>
        <w:rPr>
          <w:rFonts w:ascii="宋体" w:hAnsi="宋体" w:eastAsia="宋体" w:cs="宋体"/>
          <w:color w:val="auto"/>
          <w:spacing w:val="-2"/>
          <w:sz w:val="23"/>
          <w:szCs w:val="23"/>
          <w:highlight w:val="none"/>
        </w:rPr>
      </w:pPr>
    </w:p>
    <w:p w14:paraId="67F806EF">
      <w:pPr>
        <w:spacing w:line="240" w:lineRule="auto"/>
        <w:rPr>
          <w:rFonts w:ascii="宋体" w:hAnsi="宋体" w:eastAsia="宋体" w:cs="宋体"/>
          <w:color w:val="auto"/>
          <w:spacing w:val="-2"/>
          <w:sz w:val="23"/>
          <w:szCs w:val="23"/>
          <w:highlight w:val="none"/>
        </w:rPr>
      </w:pPr>
    </w:p>
    <w:p w14:paraId="32A45C6D">
      <w:pPr>
        <w:spacing w:line="240" w:lineRule="auto"/>
        <w:rPr>
          <w:rFonts w:ascii="宋体" w:hAnsi="宋体" w:eastAsia="宋体" w:cs="宋体"/>
          <w:color w:val="auto"/>
          <w:spacing w:val="-2"/>
          <w:sz w:val="23"/>
          <w:szCs w:val="23"/>
          <w:highlight w:val="none"/>
        </w:rPr>
      </w:pPr>
    </w:p>
    <w:p w14:paraId="39FD04D0">
      <w:pPr>
        <w:spacing w:line="240" w:lineRule="auto"/>
        <w:rPr>
          <w:rFonts w:ascii="宋体" w:hAnsi="宋体" w:eastAsia="宋体" w:cs="宋体"/>
          <w:color w:val="auto"/>
          <w:spacing w:val="-2"/>
          <w:sz w:val="23"/>
          <w:szCs w:val="23"/>
          <w:highlight w:val="none"/>
        </w:rPr>
      </w:pPr>
    </w:p>
    <w:p w14:paraId="6A0C59E2">
      <w:pPr>
        <w:spacing w:line="240" w:lineRule="auto"/>
        <w:rPr>
          <w:color w:val="auto"/>
          <w:highlight w:val="none"/>
        </w:rPr>
      </w:pPr>
    </w:p>
    <w:p w14:paraId="3290F802">
      <w:pPr>
        <w:spacing w:line="240" w:lineRule="auto"/>
        <w:rPr>
          <w:color w:val="auto"/>
          <w:highlight w:val="none"/>
        </w:rPr>
      </w:pPr>
    </w:p>
    <w:p w14:paraId="0F9198F6">
      <w:pPr>
        <w:spacing w:line="240" w:lineRule="auto"/>
        <w:rPr>
          <w:color w:val="auto"/>
          <w:highlight w:val="none"/>
        </w:rPr>
      </w:pPr>
      <w:r>
        <w:rPr>
          <w:color w:val="auto"/>
          <w:highlight w:val="none"/>
        </w:rPr>
        <w:br w:type="page"/>
      </w:r>
    </w:p>
    <w:p w14:paraId="0128D5D7">
      <w:pPr>
        <w:spacing w:line="240" w:lineRule="auto"/>
        <w:rPr>
          <w:color w:val="auto"/>
          <w:highlight w:val="none"/>
        </w:rPr>
        <w:sectPr>
          <w:headerReference r:id="rId19" w:type="default"/>
          <w:footerReference r:id="rId20" w:type="default"/>
          <w:pgSz w:w="11905" w:h="16838"/>
          <w:pgMar w:top="1417" w:right="1417" w:bottom="1417" w:left="1417" w:header="0" w:footer="1134" w:gutter="0"/>
          <w:cols w:space="425" w:num="1"/>
        </w:sectPr>
      </w:pPr>
    </w:p>
    <w:p w14:paraId="22F6DC35">
      <w:pPr>
        <w:pStyle w:val="2"/>
        <w:spacing w:line="240" w:lineRule="auto"/>
        <w:rPr>
          <w:color w:val="auto"/>
          <w:highlight w:val="none"/>
        </w:rPr>
      </w:pPr>
    </w:p>
    <w:p w14:paraId="5921D28B">
      <w:pPr>
        <w:spacing w:line="240" w:lineRule="auto"/>
        <w:jc w:val="center"/>
        <w:outlineLvl w:val="9"/>
        <w:rPr>
          <w:rFonts w:hint="eastAsia" w:ascii="宋体" w:hAnsi="宋体" w:eastAsia="宋体" w:cs="宋体"/>
          <w:b/>
          <w:bCs/>
          <w:color w:val="auto"/>
          <w:sz w:val="32"/>
          <w:szCs w:val="32"/>
          <w:highlight w:val="none"/>
        </w:rPr>
      </w:pPr>
      <w:bookmarkStart w:id="137" w:name="_Toc28016"/>
      <w:bookmarkStart w:id="138" w:name="_Toc7760"/>
      <w:r>
        <w:rPr>
          <w:rFonts w:hint="eastAsia" w:ascii="宋体" w:hAnsi="宋体" w:eastAsia="宋体" w:cs="宋体"/>
          <w:b/>
          <w:bCs/>
          <w:color w:val="auto"/>
          <w:sz w:val="32"/>
          <w:szCs w:val="32"/>
          <w:highlight w:val="none"/>
        </w:rPr>
        <w:t>二、</w:t>
      </w:r>
      <w:bookmarkEnd w:id="137"/>
      <w:bookmarkEnd w:id="138"/>
      <w:r>
        <w:rPr>
          <w:rFonts w:hint="eastAsia" w:ascii="宋体" w:hAnsi="宋体" w:eastAsia="宋体" w:cs="宋体"/>
          <w:b/>
          <w:bCs/>
          <w:color w:val="auto"/>
          <w:sz w:val="32"/>
          <w:szCs w:val="32"/>
          <w:highlight w:val="none"/>
        </w:rPr>
        <w:t>分项报价表</w:t>
      </w:r>
    </w:p>
    <w:p w14:paraId="0FAECB2E">
      <w:pPr>
        <w:spacing w:before="3" w:line="240" w:lineRule="auto"/>
        <w:ind w:right="13"/>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（本项目不涉及，无需提供）</w:t>
      </w:r>
    </w:p>
    <w:p w14:paraId="7561A494">
      <w:pPr>
        <w:spacing w:line="240" w:lineRule="auto"/>
        <w:jc w:val="center"/>
        <w:outlineLvl w:val="9"/>
        <w:rPr>
          <w:rFonts w:hint="eastAsia" w:ascii="宋体" w:hAnsi="宋体" w:eastAsia="宋体" w:cs="宋体"/>
          <w:b/>
          <w:bCs/>
          <w:color w:val="auto"/>
          <w:sz w:val="32"/>
          <w:szCs w:val="32"/>
          <w:highlight w:val="none"/>
        </w:rPr>
      </w:pPr>
    </w:p>
    <w:p w14:paraId="21A7ECF7">
      <w:pPr>
        <w:spacing w:line="240" w:lineRule="auto"/>
        <w:rPr>
          <w:color w:val="auto"/>
          <w:highlight w:val="none"/>
        </w:rPr>
      </w:pPr>
    </w:p>
    <w:p w14:paraId="55F9FE6D">
      <w:pPr>
        <w:spacing w:before="78" w:line="240" w:lineRule="auto"/>
        <w:ind w:left="1313"/>
        <w:rPr>
          <w:rFonts w:ascii="宋体" w:hAnsi="宋体" w:eastAsia="宋体" w:cs="宋体"/>
          <w:color w:val="auto"/>
          <w:sz w:val="23"/>
          <w:szCs w:val="23"/>
          <w:highlight w:val="none"/>
        </w:rPr>
        <w:sectPr>
          <w:pgSz w:w="11905" w:h="16838"/>
          <w:pgMar w:top="1417" w:right="1417" w:bottom="1417" w:left="1417" w:header="0" w:footer="1134" w:gutter="0"/>
          <w:cols w:space="0" w:num="1"/>
        </w:sectPr>
      </w:pPr>
    </w:p>
    <w:p w14:paraId="2A04592D">
      <w:pPr>
        <w:spacing w:before="3" w:line="240" w:lineRule="auto"/>
        <w:ind w:right="13"/>
        <w:jc w:val="center"/>
        <w:outlineLvl w:val="9"/>
        <w:rPr>
          <w:rFonts w:hint="eastAsia" w:ascii="宋体" w:hAnsi="宋体" w:eastAsia="宋体" w:cs="宋体"/>
          <w:b/>
          <w:bCs/>
          <w:color w:val="auto"/>
          <w:sz w:val="32"/>
          <w:szCs w:val="32"/>
          <w:highlight w:val="none"/>
          <w:lang w:eastAsia="zh-CN"/>
        </w:rPr>
      </w:pPr>
      <w:bookmarkStart w:id="139" w:name="_Toc4952"/>
      <w:bookmarkStart w:id="140" w:name="_Toc2115"/>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、中小企业声明函/监狱企业相关证明材料/残疾人福利性单位声明函</w:t>
      </w:r>
    </w:p>
    <w:p w14:paraId="52B5EF6F">
      <w:pPr>
        <w:spacing w:before="3" w:line="240" w:lineRule="auto"/>
        <w:ind w:right="13"/>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-1 中小企业声明函（</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类）</w:t>
      </w:r>
    </w:p>
    <w:p w14:paraId="30CAE7C3">
      <w:pPr>
        <w:spacing w:line="240" w:lineRule="auto"/>
        <w:ind w:firstLine="480" w:firstLineChars="200"/>
        <w:rPr>
          <w:rFonts w:ascii="宋体" w:hAnsi="宋体" w:eastAsia="宋体" w:cs="宋体"/>
          <w:color w:val="auto"/>
          <w:sz w:val="24"/>
          <w:szCs w:val="24"/>
          <w:highlight w:val="none"/>
        </w:rPr>
      </w:pPr>
    </w:p>
    <w:p w14:paraId="172C55B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26" w:rightChars="0" w:firstLine="480" w:firstLineChars="200"/>
        <w:rPr>
          <w:rFonts w:ascii="宋体" w:hAnsi="宋体" w:eastAsia="宋体" w:cs="宋体"/>
          <w:i w:val="0"/>
          <w:iCs w:val="0"/>
          <w:caps w:val="0"/>
          <w:color w:val="000000"/>
          <w:spacing w:val="0"/>
          <w:sz w:val="24"/>
          <w:szCs w:val="24"/>
          <w:highlight w:val="none"/>
        </w:rPr>
      </w:pPr>
      <w:r>
        <w:rPr>
          <w:rFonts w:ascii="宋体" w:hAnsi="宋体" w:eastAsia="宋体" w:cs="宋体"/>
          <w:i w:val="0"/>
          <w:iCs w:val="0"/>
          <w:caps w:val="0"/>
          <w:color w:val="000000"/>
          <w:spacing w:val="0"/>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i w:val="0"/>
          <w:iCs w:val="0"/>
          <w:caps w:val="0"/>
          <w:color w:val="000000"/>
          <w:spacing w:val="0"/>
          <w:sz w:val="24"/>
          <w:szCs w:val="24"/>
          <w:highlight w:val="none"/>
        </w:rPr>
        <w:t>采购活动，服务全部由符合政策要求的中小企业承接。相关企业（含联合体中的中小企业、签订分包意向协议的中小企业）的具体情况如下：</w:t>
      </w:r>
    </w:p>
    <w:p w14:paraId="4E54969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26" w:rightChars="0" w:firstLine="480" w:firstLineChars="200"/>
        <w:rPr>
          <w:rFonts w:ascii="宋体" w:hAnsi="宋体" w:eastAsia="宋体" w:cs="宋体"/>
          <w:i w:val="0"/>
          <w:iCs w:val="0"/>
          <w:caps w:val="0"/>
          <w:color w:val="000000"/>
          <w:spacing w:val="0"/>
          <w:sz w:val="24"/>
          <w:szCs w:val="24"/>
          <w:highlight w:val="none"/>
        </w:rPr>
      </w:pPr>
      <w:r>
        <w:rPr>
          <w:rFonts w:ascii="宋体" w:hAnsi="宋体" w:eastAsia="宋体" w:cs="宋体"/>
          <w:i w:val="0"/>
          <w:iCs w:val="0"/>
          <w:caps w:val="0"/>
          <w:color w:val="000000"/>
          <w:spacing w:val="0"/>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i w:val="0"/>
          <w:iCs w:val="0"/>
          <w:caps w:val="0"/>
          <w:color w:val="000000"/>
          <w:spacing w:val="0"/>
          <w:sz w:val="24"/>
          <w:szCs w:val="24"/>
          <w:highlight w:val="none"/>
        </w:rPr>
        <w:t>，属于</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采购文件中明确的所属行业）</w:t>
      </w:r>
      <w:r>
        <w:rPr>
          <w:rFonts w:ascii="宋体" w:hAnsi="宋体" w:eastAsia="宋体" w:cs="宋体"/>
          <w:i w:val="0"/>
          <w:iCs w:val="0"/>
          <w:caps w:val="0"/>
          <w:color w:val="000000"/>
          <w:spacing w:val="0"/>
          <w:sz w:val="24"/>
          <w:szCs w:val="24"/>
          <w:highlight w:val="none"/>
        </w:rPr>
        <w:t>行业；承接企业为</w:t>
      </w:r>
      <w:r>
        <w:rPr>
          <w:rFonts w:ascii="宋体" w:hAnsi="宋体" w:eastAsia="宋体" w:cs="宋体"/>
          <w:color w:val="auto"/>
          <w:sz w:val="24"/>
          <w:szCs w:val="24"/>
          <w:highlight w:val="none"/>
          <w:u w:val="single"/>
        </w:rPr>
        <w:t>（企业名称）</w:t>
      </w:r>
      <w:r>
        <w:rPr>
          <w:rFonts w:ascii="宋体" w:hAnsi="宋体" w:eastAsia="宋体" w:cs="宋体"/>
          <w:i w:val="0"/>
          <w:iCs w:val="0"/>
          <w:caps w:val="0"/>
          <w:color w:val="000000"/>
          <w:spacing w:val="0"/>
          <w:sz w:val="24"/>
          <w:szCs w:val="24"/>
          <w:highlight w:val="none"/>
        </w:rPr>
        <w:t>，从业人员</w:t>
      </w:r>
      <w:r>
        <w:rPr>
          <w:rFonts w:ascii="宋体" w:hAnsi="宋体" w:eastAsia="宋体" w:cs="宋体"/>
          <w:i w:val="0"/>
          <w:iCs w:val="0"/>
          <w:caps w:val="0"/>
          <w:color w:val="000000"/>
          <w:spacing w:val="0"/>
          <w:sz w:val="24"/>
          <w:szCs w:val="24"/>
          <w:highlight w:val="none"/>
          <w:u w:val="single"/>
        </w:rPr>
        <w:t> </w:t>
      </w:r>
      <w:r>
        <w:rPr>
          <w:rFonts w:ascii="宋体" w:hAnsi="宋体" w:eastAsia="宋体" w:cs="宋体"/>
          <w:i w:val="0"/>
          <w:iCs w:val="0"/>
          <w:caps w:val="0"/>
          <w:color w:val="000000"/>
          <w:spacing w:val="0"/>
          <w:sz w:val="24"/>
          <w:szCs w:val="24"/>
          <w:highlight w:val="none"/>
        </w:rPr>
        <w:t>人，营业收入为</w:t>
      </w:r>
      <w:r>
        <w:rPr>
          <w:rFonts w:hint="eastAsia" w:ascii="宋体" w:hAnsi="宋体" w:eastAsia="宋体" w:cs="宋体"/>
          <w:i w:val="0"/>
          <w:iCs w:val="0"/>
          <w:caps w:val="0"/>
          <w:color w:val="000000"/>
          <w:spacing w:val="0"/>
          <w:sz w:val="24"/>
          <w:szCs w:val="24"/>
          <w:highlight w:val="none"/>
          <w:u w:val="single"/>
          <w:lang w:val="en-US" w:eastAsia="zh-CN"/>
        </w:rPr>
        <w:t xml:space="preserve">    </w:t>
      </w:r>
      <w:r>
        <w:rPr>
          <w:rFonts w:ascii="宋体" w:hAnsi="宋体" w:eastAsia="宋体" w:cs="宋体"/>
          <w:i w:val="0"/>
          <w:iCs w:val="0"/>
          <w:caps w:val="0"/>
          <w:color w:val="000000"/>
          <w:spacing w:val="0"/>
          <w:sz w:val="24"/>
          <w:szCs w:val="24"/>
          <w:highlight w:val="none"/>
        </w:rPr>
        <w:t>万元，资产总额为</w:t>
      </w:r>
      <w:r>
        <w:rPr>
          <w:rFonts w:hint="eastAsia" w:ascii="宋体" w:hAnsi="宋体" w:eastAsia="宋体" w:cs="宋体"/>
          <w:i w:val="0"/>
          <w:iCs w:val="0"/>
          <w:caps w:val="0"/>
          <w:color w:val="000000"/>
          <w:spacing w:val="0"/>
          <w:sz w:val="24"/>
          <w:szCs w:val="24"/>
          <w:highlight w:val="none"/>
          <w:u w:val="single"/>
          <w:lang w:val="en-US" w:eastAsia="zh-CN"/>
        </w:rPr>
        <w:t xml:space="preserve">   </w:t>
      </w:r>
      <w:r>
        <w:rPr>
          <w:rFonts w:ascii="宋体" w:hAnsi="宋体" w:eastAsia="宋体" w:cs="宋体"/>
          <w:i w:val="0"/>
          <w:iCs w:val="0"/>
          <w:caps w:val="0"/>
          <w:color w:val="000000"/>
          <w:spacing w:val="0"/>
          <w:sz w:val="24"/>
          <w:szCs w:val="24"/>
          <w:highlight w:val="none"/>
        </w:rPr>
        <w:t>万元，属于</w:t>
      </w:r>
      <w:r>
        <w:rPr>
          <w:rFonts w:ascii="宋体" w:hAnsi="宋体" w:eastAsia="宋体" w:cs="宋体"/>
          <w:color w:val="auto"/>
          <w:sz w:val="24"/>
          <w:szCs w:val="24"/>
          <w:highlight w:val="none"/>
          <w:u w:val="single"/>
        </w:rPr>
        <w:t>（中型企业、小 型企业、微型企业）</w:t>
      </w:r>
      <w:r>
        <w:rPr>
          <w:rFonts w:ascii="宋体" w:hAnsi="宋体" w:eastAsia="宋体" w:cs="宋体"/>
          <w:i w:val="0"/>
          <w:iCs w:val="0"/>
          <w:caps w:val="0"/>
          <w:color w:val="000000"/>
          <w:spacing w:val="0"/>
          <w:sz w:val="24"/>
          <w:szCs w:val="24"/>
          <w:highlight w:val="none"/>
        </w:rPr>
        <w:t>；</w:t>
      </w:r>
    </w:p>
    <w:p w14:paraId="4F61446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840" w:firstLine="480" w:firstLineChars="200"/>
        <w:rPr>
          <w:rFonts w:ascii="宋体" w:hAnsi="宋体" w:eastAsia="宋体" w:cs="宋体"/>
          <w:i w:val="0"/>
          <w:iCs w:val="0"/>
          <w:caps w:val="0"/>
          <w:color w:val="000000"/>
          <w:spacing w:val="0"/>
          <w:sz w:val="24"/>
          <w:szCs w:val="24"/>
          <w:highlight w:val="none"/>
        </w:rPr>
      </w:pPr>
      <w:r>
        <w:rPr>
          <w:rFonts w:ascii="宋体" w:hAnsi="宋体" w:eastAsia="宋体" w:cs="宋体"/>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1CDB4A6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840" w:firstLine="480" w:firstLineChars="200"/>
        <w:rPr>
          <w:rFonts w:ascii="宋体" w:hAnsi="宋体" w:eastAsia="宋体" w:cs="宋体"/>
          <w:i w:val="0"/>
          <w:iCs w:val="0"/>
          <w:caps w:val="0"/>
          <w:color w:val="000000"/>
          <w:spacing w:val="0"/>
          <w:sz w:val="24"/>
          <w:szCs w:val="24"/>
          <w:highlight w:val="none"/>
        </w:rPr>
      </w:pPr>
      <w:r>
        <w:rPr>
          <w:rFonts w:ascii="宋体" w:hAnsi="宋体" w:eastAsia="宋体" w:cs="宋体"/>
          <w:i w:val="0"/>
          <w:iCs w:val="0"/>
          <w:caps w:val="0"/>
          <w:color w:val="000000"/>
          <w:spacing w:val="0"/>
          <w:sz w:val="24"/>
          <w:szCs w:val="24"/>
          <w:highlight w:val="none"/>
        </w:rPr>
        <w:t>本企业对上述声明内容的真实性负责。如有虚假，将依法承担相应责任。</w:t>
      </w:r>
    </w:p>
    <w:p w14:paraId="375DA58A">
      <w:pPr>
        <w:spacing w:line="240" w:lineRule="auto"/>
        <w:ind w:firstLine="480" w:firstLineChars="200"/>
        <w:rPr>
          <w:rFonts w:ascii="宋体" w:hAnsi="宋体" w:eastAsia="宋体" w:cs="宋体"/>
          <w:color w:val="auto"/>
          <w:sz w:val="24"/>
          <w:szCs w:val="24"/>
          <w:highlight w:val="none"/>
        </w:rPr>
      </w:pPr>
    </w:p>
    <w:p w14:paraId="0687568D">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ED16A4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BB8564E">
      <w:pPr>
        <w:spacing w:line="240" w:lineRule="auto"/>
        <w:rPr>
          <w:color w:val="auto"/>
          <w:highlight w:val="none"/>
        </w:rPr>
      </w:pPr>
    </w:p>
    <w:p w14:paraId="59725A3E">
      <w:pPr>
        <w:spacing w:before="3" w:line="240" w:lineRule="auto"/>
        <w:ind w:left="23" w:right="13" w:firstLine="482"/>
        <w:rPr>
          <w:rFonts w:ascii="宋体" w:hAnsi="宋体" w:eastAsia="宋体" w:cs="宋体"/>
          <w:b/>
          <w:bCs/>
          <w:color w:val="auto"/>
          <w:sz w:val="23"/>
          <w:szCs w:val="23"/>
          <w:highlight w:val="none"/>
        </w:rPr>
      </w:pPr>
    </w:p>
    <w:p w14:paraId="289B9B37">
      <w:pPr>
        <w:spacing w:before="3" w:line="240" w:lineRule="auto"/>
        <w:ind w:left="23" w:right="13" w:firstLine="482"/>
        <w:rPr>
          <w:rFonts w:ascii="宋体" w:hAnsi="宋体" w:eastAsia="宋体" w:cs="宋体"/>
          <w:b/>
          <w:bCs/>
          <w:color w:val="auto"/>
          <w:sz w:val="23"/>
          <w:szCs w:val="23"/>
          <w:highlight w:val="none"/>
        </w:rPr>
      </w:pPr>
    </w:p>
    <w:p w14:paraId="22DC6AFD">
      <w:pPr>
        <w:spacing w:before="3" w:line="240" w:lineRule="auto"/>
        <w:ind w:left="23" w:right="13"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供应商根据《工业和信息化部、国家统计局、国家发展和改革委员会、财政部关于印发中小企业划型标准规定的通知》（工信部联企业〔2011〕300号）规定，结合自身实际，确定对应的中小企业划型。</w:t>
      </w:r>
    </w:p>
    <w:p w14:paraId="7E354120">
      <w:pPr>
        <w:spacing w:before="3" w:line="240" w:lineRule="auto"/>
        <w:ind w:left="23" w:right="13"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从业人员、营业收入、资产总额填报上一年度数据，无上一年度数据的新成立企业从业人员、营业收入、资产总额均填0，根据提交投标（响应）文件时的实际情况填写企业类型。</w:t>
      </w:r>
    </w:p>
    <w:p w14:paraId="45933594">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.本项目标的名称、所属行业详见第二章投标人须知附表。</w:t>
      </w:r>
    </w:p>
    <w:p w14:paraId="57143008">
      <w:pPr>
        <w:spacing w:line="240" w:lineRule="auto"/>
        <w:rPr>
          <w:color w:val="auto"/>
          <w:highlight w:val="none"/>
        </w:rPr>
        <w:sectPr>
          <w:headerReference r:id="rId21" w:type="default"/>
          <w:footerReference r:id="rId22" w:type="default"/>
          <w:pgSz w:w="11905" w:h="16838"/>
          <w:pgMar w:top="1417" w:right="1417" w:bottom="1417" w:left="1417" w:header="0" w:footer="1134" w:gutter="0"/>
          <w:cols w:space="425" w:num="1"/>
        </w:sectPr>
      </w:pPr>
    </w:p>
    <w:p w14:paraId="7190DB1A">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-2 监狱企业相关证明材料</w:t>
      </w:r>
    </w:p>
    <w:p w14:paraId="69DBB393">
      <w:pPr>
        <w:spacing w:line="240" w:lineRule="auto"/>
        <w:ind w:left="23" w:firstLine="482"/>
        <w:rPr>
          <w:rFonts w:ascii="宋体" w:hAnsi="宋体" w:eastAsia="宋体" w:cs="宋体"/>
          <w:color w:val="auto"/>
          <w:sz w:val="23"/>
          <w:szCs w:val="23"/>
          <w:highlight w:val="none"/>
        </w:rPr>
      </w:pPr>
    </w:p>
    <w:p w14:paraId="522935D6">
      <w:pPr>
        <w:spacing w:line="240" w:lineRule="auto"/>
        <w:ind w:left="23" w:firstLine="482"/>
        <w:rPr>
          <w:rFonts w:ascii="宋体" w:hAnsi="宋体" w:eastAsia="宋体" w:cs="宋体"/>
          <w:color w:val="auto"/>
          <w:sz w:val="23"/>
          <w:szCs w:val="23"/>
          <w:highlight w:val="none"/>
        </w:rPr>
      </w:pPr>
    </w:p>
    <w:p w14:paraId="152F1014">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E4E382C">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司法部关于政府采购支持监狱企业发展有关问题的通知》财库〔2014〕68号文的规定，监狱企业参加采购活动时，应当提供由省级以上监狱管理局、戒毒管理局（含新疆生产建设兵团）出具的属于监狱企业的证明文件。</w:t>
      </w:r>
    </w:p>
    <w:p w14:paraId="68046EDC">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在采购活动中，监狱企业视同小型、微型企业，享受预留份额、评审中价格扣除等政府采购促进中小企业发展的政府采购政策。</w:t>
      </w:r>
    </w:p>
    <w:p w14:paraId="275E3BEA">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3.如未提供监狱企业相关证明材料的，则不能享受采购文件规定的价格扣除，但不影响供应商文件的有效性。</w:t>
      </w:r>
    </w:p>
    <w:p w14:paraId="026B57E6">
      <w:pPr>
        <w:spacing w:line="240" w:lineRule="auto"/>
        <w:ind w:left="2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4.非监狱企业参加本次采购活动，无需提供本证明材料。</w:t>
      </w:r>
    </w:p>
    <w:p w14:paraId="6EF0F45E">
      <w:pPr>
        <w:spacing w:line="240" w:lineRule="auto"/>
        <w:rPr>
          <w:color w:val="auto"/>
          <w:highlight w:val="none"/>
        </w:rPr>
        <w:sectPr>
          <w:headerReference r:id="rId23" w:type="default"/>
          <w:footerReference r:id="rId24" w:type="default"/>
          <w:pgSz w:w="11905" w:h="16838"/>
          <w:pgMar w:top="1417" w:right="1417" w:bottom="1417" w:left="1417" w:header="0" w:footer="1134" w:gutter="0"/>
          <w:cols w:space="425" w:num="1"/>
        </w:sectPr>
      </w:pPr>
    </w:p>
    <w:p w14:paraId="3A9383AA">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-3 残疾人福利性单位声明函</w:t>
      </w:r>
    </w:p>
    <w:p w14:paraId="7209EDF4">
      <w:pPr>
        <w:spacing w:line="240" w:lineRule="auto"/>
        <w:rPr>
          <w:color w:val="auto"/>
          <w:highlight w:val="none"/>
        </w:rPr>
      </w:pPr>
    </w:p>
    <w:p w14:paraId="34208CEA">
      <w:pPr>
        <w:spacing w:line="240" w:lineRule="auto"/>
        <w:rPr>
          <w:color w:val="auto"/>
          <w:highlight w:val="none"/>
        </w:rPr>
      </w:pPr>
    </w:p>
    <w:p w14:paraId="14759B91">
      <w:pPr>
        <w:spacing w:line="240" w:lineRule="auto"/>
        <w:rPr>
          <w:color w:val="auto"/>
          <w:highlight w:val="none"/>
        </w:rPr>
      </w:pPr>
    </w:p>
    <w:p w14:paraId="1F50FE8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3FB8FC">
      <w:pPr>
        <w:spacing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01C65D15">
      <w:pPr>
        <w:spacing w:line="240" w:lineRule="auto"/>
        <w:ind w:left="23" w:firstLine="482"/>
        <w:jc w:val="right"/>
        <w:rPr>
          <w:rFonts w:ascii="宋体" w:hAnsi="宋体" w:eastAsia="宋体" w:cs="宋体"/>
          <w:color w:val="auto"/>
          <w:sz w:val="23"/>
          <w:szCs w:val="23"/>
          <w:highlight w:val="none"/>
        </w:rPr>
      </w:pPr>
    </w:p>
    <w:p w14:paraId="1374BF08">
      <w:pPr>
        <w:spacing w:line="240" w:lineRule="auto"/>
        <w:rPr>
          <w:color w:val="auto"/>
          <w:highlight w:val="none"/>
        </w:rPr>
      </w:pPr>
    </w:p>
    <w:p w14:paraId="6A113849">
      <w:pPr>
        <w:spacing w:line="240" w:lineRule="auto"/>
        <w:rPr>
          <w:color w:val="auto"/>
          <w:highlight w:val="none"/>
        </w:rPr>
      </w:pPr>
    </w:p>
    <w:p w14:paraId="6DD989DD">
      <w:pPr>
        <w:spacing w:line="240" w:lineRule="auto"/>
        <w:rPr>
          <w:color w:val="auto"/>
          <w:highlight w:val="none"/>
        </w:rPr>
      </w:pPr>
    </w:p>
    <w:p w14:paraId="6A6332C6">
      <w:pPr>
        <w:spacing w:line="24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2D1BF5A3">
      <w:pPr>
        <w:spacing w:line="240" w:lineRule="auto"/>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1E5B017">
      <w:pPr>
        <w:spacing w:line="240" w:lineRule="auto"/>
        <w:rPr>
          <w:color w:val="auto"/>
          <w:highlight w:val="none"/>
        </w:rPr>
        <w:sectPr>
          <w:headerReference r:id="rId25" w:type="default"/>
          <w:footerReference r:id="rId26" w:type="default"/>
          <w:pgSz w:w="11905" w:h="16838"/>
          <w:pgMar w:top="1417" w:right="1417" w:bottom="1417" w:left="1417" w:header="0" w:footer="1134" w:gutter="0"/>
          <w:cols w:space="425" w:num="1"/>
        </w:sectPr>
      </w:pPr>
    </w:p>
    <w:p w14:paraId="6A21FED7">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、商务应答表</w:t>
      </w:r>
      <w:bookmarkEnd w:id="139"/>
      <w:bookmarkEnd w:id="140"/>
    </w:p>
    <w:p w14:paraId="04FC8E0D">
      <w:pPr>
        <w:spacing w:line="240" w:lineRule="auto"/>
        <w:rPr>
          <w:color w:val="auto"/>
          <w:highlight w:val="none"/>
        </w:rPr>
      </w:pPr>
    </w:p>
    <w:p w14:paraId="7A91C935">
      <w:pPr>
        <w:spacing w:before="75" w:line="240" w:lineRule="auto"/>
        <w:rPr>
          <w:rFonts w:ascii="宋体" w:hAnsi="宋体" w:eastAsia="宋体" w:cs="宋体"/>
          <w:color w:val="auto"/>
          <w:sz w:val="23"/>
          <w:szCs w:val="23"/>
          <w:highlight w:val="none"/>
          <w:u w:val="singl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lang w:eastAsia="zh-CN"/>
        </w:rPr>
        <w:t>项目编号</w:t>
      </w:r>
      <w:r>
        <w:rPr>
          <w:rFonts w:hint="eastAsia"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3"/>
          <w:szCs w:val="23"/>
          <w:highlight w:val="none"/>
        </w:rPr>
        <w:t xml:space="preserve">  </w:t>
      </w:r>
    </w:p>
    <w:tbl>
      <w:tblPr>
        <w:tblStyle w:val="23"/>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3298"/>
      </w:tblGrid>
      <w:tr w14:paraId="74814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730" w:type="dxa"/>
            <w:vAlign w:val="center"/>
          </w:tcPr>
          <w:p w14:paraId="3B6EA23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vAlign w:val="center"/>
          </w:tcPr>
          <w:p w14:paraId="3A06920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vAlign w:val="center"/>
          </w:tcPr>
          <w:p w14:paraId="054A7D7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投标应答</w:t>
            </w:r>
          </w:p>
        </w:tc>
        <w:tc>
          <w:tcPr>
            <w:tcW w:w="3298" w:type="dxa"/>
            <w:vAlign w:val="center"/>
          </w:tcPr>
          <w:p w14:paraId="71DEC11F">
            <w:pPr>
              <w:widowControl/>
              <w:jc w:val="center"/>
              <w:rPr>
                <w:rFonts w:hint="eastAsia" w:hAnsi="宋体" w:cs="宋体"/>
                <w:sz w:val="24"/>
                <w:highlight w:val="none"/>
              </w:rPr>
            </w:pPr>
            <w:r>
              <w:rPr>
                <w:rFonts w:hint="eastAsia" w:hAnsi="宋体" w:cs="宋体"/>
                <w:sz w:val="24"/>
                <w:highlight w:val="none"/>
              </w:rPr>
              <w:t>偏离说明</w:t>
            </w:r>
          </w:p>
          <w:p w14:paraId="6773FA1B">
            <w:pPr>
              <w:spacing w:line="240" w:lineRule="auto"/>
              <w:ind w:right="13"/>
              <w:jc w:val="center"/>
              <w:rPr>
                <w:rFonts w:ascii="宋体" w:hAnsi="宋体" w:eastAsia="宋体" w:cs="宋体"/>
                <w:color w:val="auto"/>
                <w:spacing w:val="6"/>
                <w:sz w:val="24"/>
                <w:szCs w:val="24"/>
                <w:highlight w:val="none"/>
              </w:rPr>
            </w:pPr>
            <w:r>
              <w:rPr>
                <w:rFonts w:hint="eastAsia" w:hAnsi="宋体" w:cs="宋体"/>
                <w:sz w:val="24"/>
                <w:highlight w:val="none"/>
              </w:rPr>
              <w:t>（无偏离／正偏离／负偏离）</w:t>
            </w:r>
          </w:p>
        </w:tc>
      </w:tr>
      <w:tr w14:paraId="73BAF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427F3A0">
            <w:pPr>
              <w:spacing w:line="240" w:lineRule="auto"/>
              <w:rPr>
                <w:color w:val="auto"/>
                <w:sz w:val="24"/>
                <w:szCs w:val="24"/>
                <w:highlight w:val="none"/>
              </w:rPr>
            </w:pPr>
          </w:p>
        </w:tc>
        <w:tc>
          <w:tcPr>
            <w:tcW w:w="2049" w:type="dxa"/>
          </w:tcPr>
          <w:p w14:paraId="135BFB77">
            <w:pPr>
              <w:spacing w:line="240" w:lineRule="auto"/>
              <w:rPr>
                <w:color w:val="auto"/>
                <w:sz w:val="24"/>
                <w:szCs w:val="24"/>
                <w:highlight w:val="none"/>
              </w:rPr>
            </w:pPr>
          </w:p>
        </w:tc>
        <w:tc>
          <w:tcPr>
            <w:tcW w:w="2859" w:type="dxa"/>
          </w:tcPr>
          <w:p w14:paraId="508D3CAF">
            <w:pPr>
              <w:spacing w:line="240" w:lineRule="auto"/>
              <w:rPr>
                <w:color w:val="auto"/>
                <w:sz w:val="24"/>
                <w:szCs w:val="24"/>
                <w:highlight w:val="none"/>
              </w:rPr>
            </w:pPr>
          </w:p>
        </w:tc>
        <w:tc>
          <w:tcPr>
            <w:tcW w:w="3298" w:type="dxa"/>
          </w:tcPr>
          <w:p w14:paraId="7DB55E51">
            <w:pPr>
              <w:spacing w:line="240" w:lineRule="auto"/>
              <w:rPr>
                <w:color w:val="auto"/>
                <w:sz w:val="24"/>
                <w:szCs w:val="24"/>
                <w:highlight w:val="none"/>
              </w:rPr>
            </w:pPr>
          </w:p>
        </w:tc>
      </w:tr>
      <w:tr w14:paraId="1A01C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3B0B5D27">
            <w:pPr>
              <w:spacing w:line="240" w:lineRule="auto"/>
              <w:rPr>
                <w:color w:val="auto"/>
                <w:sz w:val="24"/>
                <w:szCs w:val="24"/>
                <w:highlight w:val="none"/>
              </w:rPr>
            </w:pPr>
          </w:p>
        </w:tc>
        <w:tc>
          <w:tcPr>
            <w:tcW w:w="2049" w:type="dxa"/>
          </w:tcPr>
          <w:p w14:paraId="54849D0E">
            <w:pPr>
              <w:spacing w:line="240" w:lineRule="auto"/>
              <w:rPr>
                <w:color w:val="auto"/>
                <w:sz w:val="24"/>
                <w:szCs w:val="24"/>
                <w:highlight w:val="none"/>
              </w:rPr>
            </w:pPr>
          </w:p>
        </w:tc>
        <w:tc>
          <w:tcPr>
            <w:tcW w:w="2859" w:type="dxa"/>
          </w:tcPr>
          <w:p w14:paraId="13B04F6E">
            <w:pPr>
              <w:spacing w:line="240" w:lineRule="auto"/>
              <w:rPr>
                <w:color w:val="auto"/>
                <w:sz w:val="24"/>
                <w:szCs w:val="24"/>
                <w:highlight w:val="none"/>
              </w:rPr>
            </w:pPr>
          </w:p>
        </w:tc>
        <w:tc>
          <w:tcPr>
            <w:tcW w:w="3298" w:type="dxa"/>
          </w:tcPr>
          <w:p w14:paraId="605A14B6">
            <w:pPr>
              <w:spacing w:line="240" w:lineRule="auto"/>
              <w:rPr>
                <w:color w:val="auto"/>
                <w:sz w:val="24"/>
                <w:szCs w:val="24"/>
                <w:highlight w:val="none"/>
              </w:rPr>
            </w:pPr>
          </w:p>
        </w:tc>
      </w:tr>
      <w:tr w14:paraId="3828E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524136DD">
            <w:pPr>
              <w:spacing w:line="240" w:lineRule="auto"/>
              <w:rPr>
                <w:color w:val="auto"/>
                <w:sz w:val="24"/>
                <w:szCs w:val="24"/>
                <w:highlight w:val="none"/>
              </w:rPr>
            </w:pPr>
          </w:p>
        </w:tc>
        <w:tc>
          <w:tcPr>
            <w:tcW w:w="2049" w:type="dxa"/>
          </w:tcPr>
          <w:p w14:paraId="567FB042">
            <w:pPr>
              <w:spacing w:line="240" w:lineRule="auto"/>
              <w:rPr>
                <w:color w:val="auto"/>
                <w:sz w:val="24"/>
                <w:szCs w:val="24"/>
                <w:highlight w:val="none"/>
              </w:rPr>
            </w:pPr>
          </w:p>
        </w:tc>
        <w:tc>
          <w:tcPr>
            <w:tcW w:w="2859" w:type="dxa"/>
          </w:tcPr>
          <w:p w14:paraId="46726A4E">
            <w:pPr>
              <w:spacing w:line="240" w:lineRule="auto"/>
              <w:rPr>
                <w:color w:val="auto"/>
                <w:sz w:val="24"/>
                <w:szCs w:val="24"/>
                <w:highlight w:val="none"/>
              </w:rPr>
            </w:pPr>
          </w:p>
        </w:tc>
        <w:tc>
          <w:tcPr>
            <w:tcW w:w="3298" w:type="dxa"/>
          </w:tcPr>
          <w:p w14:paraId="280E3B36">
            <w:pPr>
              <w:spacing w:line="240" w:lineRule="auto"/>
              <w:rPr>
                <w:color w:val="auto"/>
                <w:sz w:val="24"/>
                <w:szCs w:val="24"/>
                <w:highlight w:val="none"/>
              </w:rPr>
            </w:pPr>
          </w:p>
        </w:tc>
      </w:tr>
      <w:tr w14:paraId="25EF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2F49C113">
            <w:pPr>
              <w:spacing w:line="240" w:lineRule="auto"/>
              <w:rPr>
                <w:color w:val="auto"/>
                <w:sz w:val="24"/>
                <w:szCs w:val="24"/>
                <w:highlight w:val="none"/>
              </w:rPr>
            </w:pPr>
          </w:p>
        </w:tc>
        <w:tc>
          <w:tcPr>
            <w:tcW w:w="2049" w:type="dxa"/>
          </w:tcPr>
          <w:p w14:paraId="00580765">
            <w:pPr>
              <w:spacing w:line="240" w:lineRule="auto"/>
              <w:rPr>
                <w:color w:val="auto"/>
                <w:sz w:val="24"/>
                <w:szCs w:val="24"/>
                <w:highlight w:val="none"/>
              </w:rPr>
            </w:pPr>
          </w:p>
        </w:tc>
        <w:tc>
          <w:tcPr>
            <w:tcW w:w="2859" w:type="dxa"/>
          </w:tcPr>
          <w:p w14:paraId="7A4BCC78">
            <w:pPr>
              <w:spacing w:line="240" w:lineRule="auto"/>
              <w:rPr>
                <w:color w:val="auto"/>
                <w:sz w:val="24"/>
                <w:szCs w:val="24"/>
                <w:highlight w:val="none"/>
              </w:rPr>
            </w:pPr>
          </w:p>
        </w:tc>
        <w:tc>
          <w:tcPr>
            <w:tcW w:w="3298" w:type="dxa"/>
          </w:tcPr>
          <w:p w14:paraId="45928F9D">
            <w:pPr>
              <w:spacing w:line="240" w:lineRule="auto"/>
              <w:rPr>
                <w:color w:val="auto"/>
                <w:sz w:val="24"/>
                <w:szCs w:val="24"/>
                <w:highlight w:val="none"/>
              </w:rPr>
            </w:pPr>
          </w:p>
        </w:tc>
      </w:tr>
      <w:tr w14:paraId="59968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72762629">
            <w:pPr>
              <w:spacing w:line="240" w:lineRule="auto"/>
              <w:rPr>
                <w:color w:val="auto"/>
                <w:sz w:val="24"/>
                <w:szCs w:val="24"/>
                <w:highlight w:val="none"/>
              </w:rPr>
            </w:pPr>
          </w:p>
        </w:tc>
        <w:tc>
          <w:tcPr>
            <w:tcW w:w="2049" w:type="dxa"/>
          </w:tcPr>
          <w:p w14:paraId="339265CC">
            <w:pPr>
              <w:spacing w:line="240" w:lineRule="auto"/>
              <w:rPr>
                <w:color w:val="auto"/>
                <w:sz w:val="24"/>
                <w:szCs w:val="24"/>
                <w:highlight w:val="none"/>
              </w:rPr>
            </w:pPr>
          </w:p>
        </w:tc>
        <w:tc>
          <w:tcPr>
            <w:tcW w:w="2859" w:type="dxa"/>
          </w:tcPr>
          <w:p w14:paraId="38D751DD">
            <w:pPr>
              <w:spacing w:line="240" w:lineRule="auto"/>
              <w:rPr>
                <w:color w:val="auto"/>
                <w:sz w:val="24"/>
                <w:szCs w:val="24"/>
                <w:highlight w:val="none"/>
              </w:rPr>
            </w:pPr>
          </w:p>
        </w:tc>
        <w:tc>
          <w:tcPr>
            <w:tcW w:w="3298" w:type="dxa"/>
          </w:tcPr>
          <w:p w14:paraId="79F8528C">
            <w:pPr>
              <w:spacing w:line="240" w:lineRule="auto"/>
              <w:rPr>
                <w:color w:val="auto"/>
                <w:sz w:val="24"/>
                <w:szCs w:val="24"/>
                <w:highlight w:val="none"/>
              </w:rPr>
            </w:pPr>
          </w:p>
        </w:tc>
      </w:tr>
      <w:tr w14:paraId="57E4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2DC9AA6D">
            <w:pPr>
              <w:spacing w:line="240" w:lineRule="auto"/>
              <w:rPr>
                <w:color w:val="auto"/>
                <w:sz w:val="24"/>
                <w:szCs w:val="24"/>
                <w:highlight w:val="none"/>
              </w:rPr>
            </w:pPr>
          </w:p>
        </w:tc>
        <w:tc>
          <w:tcPr>
            <w:tcW w:w="2049" w:type="dxa"/>
          </w:tcPr>
          <w:p w14:paraId="6AD7DF94">
            <w:pPr>
              <w:spacing w:line="240" w:lineRule="auto"/>
              <w:rPr>
                <w:color w:val="auto"/>
                <w:sz w:val="24"/>
                <w:szCs w:val="24"/>
                <w:highlight w:val="none"/>
              </w:rPr>
            </w:pPr>
          </w:p>
        </w:tc>
        <w:tc>
          <w:tcPr>
            <w:tcW w:w="2859" w:type="dxa"/>
          </w:tcPr>
          <w:p w14:paraId="0716D856">
            <w:pPr>
              <w:spacing w:line="240" w:lineRule="auto"/>
              <w:rPr>
                <w:color w:val="auto"/>
                <w:sz w:val="24"/>
                <w:szCs w:val="24"/>
                <w:highlight w:val="none"/>
              </w:rPr>
            </w:pPr>
          </w:p>
        </w:tc>
        <w:tc>
          <w:tcPr>
            <w:tcW w:w="3298" w:type="dxa"/>
          </w:tcPr>
          <w:p w14:paraId="6BDFA982">
            <w:pPr>
              <w:spacing w:line="240" w:lineRule="auto"/>
              <w:rPr>
                <w:color w:val="auto"/>
                <w:sz w:val="24"/>
                <w:szCs w:val="24"/>
                <w:highlight w:val="none"/>
              </w:rPr>
            </w:pPr>
          </w:p>
        </w:tc>
      </w:tr>
      <w:tr w14:paraId="0ED71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18DF53AD">
            <w:pPr>
              <w:spacing w:line="240" w:lineRule="auto"/>
              <w:rPr>
                <w:color w:val="auto"/>
                <w:sz w:val="24"/>
                <w:szCs w:val="24"/>
                <w:highlight w:val="none"/>
              </w:rPr>
            </w:pPr>
          </w:p>
        </w:tc>
        <w:tc>
          <w:tcPr>
            <w:tcW w:w="2049" w:type="dxa"/>
          </w:tcPr>
          <w:p w14:paraId="6F2FD548">
            <w:pPr>
              <w:spacing w:line="240" w:lineRule="auto"/>
              <w:rPr>
                <w:color w:val="auto"/>
                <w:sz w:val="24"/>
                <w:szCs w:val="24"/>
                <w:highlight w:val="none"/>
              </w:rPr>
            </w:pPr>
          </w:p>
        </w:tc>
        <w:tc>
          <w:tcPr>
            <w:tcW w:w="2859" w:type="dxa"/>
          </w:tcPr>
          <w:p w14:paraId="43359E39">
            <w:pPr>
              <w:spacing w:line="240" w:lineRule="auto"/>
              <w:rPr>
                <w:color w:val="auto"/>
                <w:sz w:val="24"/>
                <w:szCs w:val="24"/>
                <w:highlight w:val="none"/>
              </w:rPr>
            </w:pPr>
          </w:p>
        </w:tc>
        <w:tc>
          <w:tcPr>
            <w:tcW w:w="3298" w:type="dxa"/>
          </w:tcPr>
          <w:p w14:paraId="6F48C913">
            <w:pPr>
              <w:spacing w:line="240" w:lineRule="auto"/>
              <w:rPr>
                <w:color w:val="auto"/>
                <w:sz w:val="24"/>
                <w:szCs w:val="24"/>
                <w:highlight w:val="none"/>
              </w:rPr>
            </w:pPr>
          </w:p>
        </w:tc>
      </w:tr>
    </w:tbl>
    <w:p w14:paraId="113E23AA">
      <w:pPr>
        <w:widowControl/>
        <w:spacing w:line="500" w:lineRule="exact"/>
        <w:ind w:firstLine="518" w:firstLineChars="200"/>
        <w:jc w:val="left"/>
        <w:rPr>
          <w:rFonts w:hint="eastAsia" w:ascii="宋体" w:hAnsi="宋体" w:eastAsia="宋体" w:cs="宋体"/>
          <w:b/>
          <w:sz w:val="24"/>
          <w:highlight w:val="none"/>
        </w:rPr>
      </w:pPr>
      <w:r>
        <w:rPr>
          <w:rFonts w:hint="eastAsia" w:ascii="宋体" w:hAnsi="宋体" w:eastAsia="宋体" w:cs="宋体"/>
          <w:b/>
          <w:bCs/>
          <w:color w:val="auto"/>
          <w:spacing w:val="9"/>
          <w:sz w:val="24"/>
          <w:szCs w:val="24"/>
          <w:highlight w:val="none"/>
        </w:rPr>
        <w:t>注：</w:t>
      </w: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 xml:space="preserve">投标人须对招标文件“第六章 </w:t>
      </w:r>
      <w:r>
        <w:rPr>
          <w:rFonts w:hint="eastAsia" w:ascii="宋体" w:hAnsi="宋体" w:eastAsia="宋体" w:cs="宋体"/>
          <w:b/>
          <w:sz w:val="24"/>
          <w:highlight w:val="none"/>
          <w:lang w:val="en-US" w:eastAsia="zh-CN"/>
        </w:rPr>
        <w:t>商务要求</w:t>
      </w:r>
      <w:r>
        <w:rPr>
          <w:rFonts w:hint="eastAsia" w:ascii="宋体" w:hAnsi="宋体" w:eastAsia="宋体" w:cs="宋体"/>
          <w:b/>
          <w:sz w:val="24"/>
          <w:highlight w:val="none"/>
        </w:rPr>
        <w:t>”的各项内容进行应答。本表可只填写与招标文件要求有偏离（包括正偏离及负偏离）的内容，响应完全一致的可不用在此表中逐一列出（视为完全满足），未明确应答的条款均视为接受及满足招标文件要求。</w:t>
      </w:r>
    </w:p>
    <w:p w14:paraId="416BBBA2">
      <w:pPr>
        <w:widowControl/>
        <w:spacing w:line="5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投标应答填写：“满足”、“部分满足”、“不满足”等三种内容。针对满足且优于的事项内容，应首先应答“满足”，在偏离说明中填写正偏离，并陈述优于的具体内容；如无偏离，在偏离说明中填写无偏离即可；对于部分满足的事项内容，在偏离说明中填写负偏离，并陈述不满足的内容。</w:t>
      </w:r>
    </w:p>
    <w:p w14:paraId="137CEFC6">
      <w:pPr>
        <w:widowControl/>
        <w:spacing w:line="500" w:lineRule="exact"/>
        <w:ind w:firstLine="960" w:firstLineChars="400"/>
        <w:jc w:val="left"/>
        <w:rPr>
          <w:rFonts w:hint="eastAsia" w:ascii="宋体" w:hAnsi="宋体" w:eastAsia="宋体" w:cs="宋体"/>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对于“商务应答表”格式不做限定，投标人可根据自身情况进行调整。</w:t>
      </w:r>
    </w:p>
    <w:p w14:paraId="11E09B3B">
      <w:pPr>
        <w:widowControl/>
        <w:spacing w:line="5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投标人必须据实填写，不得虚假响应，否则将取消投标或中标资格，并按相关规定进行处罚。</w:t>
      </w:r>
    </w:p>
    <w:p w14:paraId="0CBB7E1B">
      <w:pPr>
        <w:widowControl/>
        <w:spacing w:line="5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5.招标文件明确要求提供相应证明材料的，应按要求提供证明材料。</w:t>
      </w:r>
    </w:p>
    <w:p w14:paraId="205D0D9D">
      <w:pPr>
        <w:spacing w:before="75" w:line="240" w:lineRule="auto"/>
        <w:ind w:left="493"/>
        <w:rPr>
          <w:rFonts w:ascii="宋体" w:hAnsi="宋体" w:eastAsia="宋体" w:cs="宋体"/>
          <w:b/>
          <w:bCs/>
          <w:color w:val="auto"/>
          <w:sz w:val="24"/>
          <w:szCs w:val="24"/>
          <w:highlight w:val="none"/>
        </w:rPr>
      </w:pPr>
    </w:p>
    <w:p w14:paraId="4AAC4EE0">
      <w:pPr>
        <w:spacing w:line="240" w:lineRule="auto"/>
        <w:rPr>
          <w:color w:val="auto"/>
          <w:sz w:val="24"/>
          <w:szCs w:val="24"/>
          <w:highlight w:val="none"/>
        </w:rPr>
      </w:pPr>
    </w:p>
    <w:p w14:paraId="66E431F6">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A06878B">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05A31399">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9323C98">
      <w:pPr>
        <w:spacing w:line="240" w:lineRule="auto"/>
        <w:rPr>
          <w:color w:val="auto"/>
          <w:highlight w:val="none"/>
        </w:rPr>
        <w:sectPr>
          <w:headerReference r:id="rId27" w:type="default"/>
          <w:footerReference r:id="rId28" w:type="default"/>
          <w:pgSz w:w="11905" w:h="16838"/>
          <w:pgMar w:top="1417" w:right="1417" w:bottom="1417" w:left="1417" w:header="0" w:footer="1134" w:gutter="0"/>
          <w:cols w:space="0" w:num="1"/>
        </w:sectPr>
      </w:pPr>
    </w:p>
    <w:p w14:paraId="4DE64458">
      <w:pPr>
        <w:spacing w:line="240" w:lineRule="auto"/>
        <w:rPr>
          <w:color w:val="auto"/>
          <w:sz w:val="2"/>
          <w:highlight w:val="none"/>
        </w:rPr>
      </w:pPr>
      <w:r>
        <w:rPr>
          <w:color w:val="auto"/>
          <w:sz w:val="2"/>
          <w:szCs w:val="2"/>
          <w:highlight w:val="none"/>
        </w:rPr>
        <w:br w:type="column"/>
      </w:r>
    </w:p>
    <w:p w14:paraId="1B08EE80">
      <w:pPr>
        <w:spacing w:before="3" w:line="240" w:lineRule="auto"/>
        <w:ind w:right="13"/>
        <w:jc w:val="center"/>
        <w:outlineLvl w:val="9"/>
        <w:rPr>
          <w:rFonts w:ascii="宋体" w:hAnsi="宋体" w:eastAsia="宋体" w:cs="宋体"/>
          <w:b/>
          <w:bCs/>
          <w:color w:val="auto"/>
          <w:sz w:val="32"/>
          <w:szCs w:val="32"/>
          <w:highlight w:val="none"/>
        </w:rPr>
      </w:pPr>
      <w:bookmarkStart w:id="141" w:name="_Toc11418"/>
      <w:bookmarkStart w:id="142" w:name="_Toc5386"/>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、投标人基本情况表</w:t>
      </w:r>
      <w:bookmarkEnd w:id="141"/>
      <w:bookmarkEnd w:id="142"/>
    </w:p>
    <w:p w14:paraId="58A7EFF7">
      <w:pPr>
        <w:spacing w:line="240" w:lineRule="auto"/>
        <w:rPr>
          <w:color w:val="auto"/>
          <w:highlight w:val="none"/>
        </w:rPr>
      </w:pPr>
    </w:p>
    <w:tbl>
      <w:tblPr>
        <w:tblStyle w:val="23"/>
        <w:tblW w:w="82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952"/>
        <w:gridCol w:w="1233"/>
        <w:gridCol w:w="1241"/>
        <w:gridCol w:w="1314"/>
        <w:gridCol w:w="157"/>
        <w:gridCol w:w="689"/>
        <w:gridCol w:w="1096"/>
      </w:tblGrid>
      <w:tr w14:paraId="475C36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09" w:hRule="atLeast"/>
          <w:jc w:val="center"/>
        </w:trPr>
        <w:tc>
          <w:tcPr>
            <w:tcW w:w="1536" w:type="dxa"/>
            <w:tcBorders>
              <w:tl2br w:val="nil"/>
              <w:tr2bl w:val="nil"/>
            </w:tcBorders>
            <w:vAlign w:val="center"/>
          </w:tcPr>
          <w:p w14:paraId="72B13119">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投标人名称</w:t>
            </w:r>
          </w:p>
        </w:tc>
        <w:tc>
          <w:tcPr>
            <w:tcW w:w="6682" w:type="dxa"/>
            <w:gridSpan w:val="7"/>
            <w:tcBorders>
              <w:tl2br w:val="nil"/>
              <w:tr2bl w:val="nil"/>
            </w:tcBorders>
            <w:vAlign w:val="center"/>
          </w:tcPr>
          <w:p w14:paraId="301F698C">
            <w:pPr>
              <w:spacing w:line="240" w:lineRule="auto"/>
              <w:ind w:right="13"/>
              <w:jc w:val="center"/>
              <w:rPr>
                <w:rFonts w:ascii="宋体" w:hAnsi="宋体" w:eastAsia="宋体" w:cs="宋体"/>
                <w:color w:val="auto"/>
                <w:spacing w:val="6"/>
                <w:sz w:val="24"/>
                <w:szCs w:val="24"/>
                <w:highlight w:val="none"/>
              </w:rPr>
            </w:pPr>
          </w:p>
        </w:tc>
      </w:tr>
      <w:tr w14:paraId="47BBA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536" w:type="dxa"/>
            <w:tcBorders>
              <w:tl2br w:val="nil"/>
              <w:tr2bl w:val="nil"/>
            </w:tcBorders>
            <w:vAlign w:val="center"/>
          </w:tcPr>
          <w:p w14:paraId="69D1AE3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注册地址</w:t>
            </w:r>
          </w:p>
        </w:tc>
        <w:tc>
          <w:tcPr>
            <w:tcW w:w="3426" w:type="dxa"/>
            <w:gridSpan w:val="3"/>
            <w:tcBorders>
              <w:tl2br w:val="nil"/>
              <w:tr2bl w:val="nil"/>
            </w:tcBorders>
            <w:vAlign w:val="center"/>
          </w:tcPr>
          <w:p w14:paraId="47F8E9C1">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6D4C9A5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邮政编码</w:t>
            </w:r>
          </w:p>
        </w:tc>
        <w:tc>
          <w:tcPr>
            <w:tcW w:w="1942" w:type="dxa"/>
            <w:gridSpan w:val="3"/>
            <w:tcBorders>
              <w:tl2br w:val="nil"/>
              <w:tr2bl w:val="nil"/>
            </w:tcBorders>
            <w:vAlign w:val="center"/>
          </w:tcPr>
          <w:p w14:paraId="07A43162">
            <w:pPr>
              <w:spacing w:line="240" w:lineRule="auto"/>
              <w:ind w:right="13"/>
              <w:jc w:val="center"/>
              <w:rPr>
                <w:rFonts w:ascii="宋体" w:hAnsi="宋体" w:eastAsia="宋体" w:cs="宋体"/>
                <w:color w:val="auto"/>
                <w:spacing w:val="6"/>
                <w:sz w:val="24"/>
                <w:szCs w:val="24"/>
                <w:highlight w:val="none"/>
              </w:rPr>
            </w:pPr>
          </w:p>
        </w:tc>
      </w:tr>
      <w:tr w14:paraId="2EC813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vMerge w:val="restart"/>
            <w:tcBorders>
              <w:tl2br w:val="nil"/>
              <w:tr2bl w:val="nil"/>
            </w:tcBorders>
            <w:vAlign w:val="center"/>
          </w:tcPr>
          <w:p w14:paraId="5A966FE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联系方式</w:t>
            </w:r>
          </w:p>
        </w:tc>
        <w:tc>
          <w:tcPr>
            <w:tcW w:w="952" w:type="dxa"/>
            <w:tcBorders>
              <w:tl2br w:val="nil"/>
              <w:tr2bl w:val="nil"/>
            </w:tcBorders>
            <w:vAlign w:val="center"/>
          </w:tcPr>
          <w:p w14:paraId="2E255CE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联系人</w:t>
            </w:r>
          </w:p>
        </w:tc>
        <w:tc>
          <w:tcPr>
            <w:tcW w:w="2474" w:type="dxa"/>
            <w:gridSpan w:val="2"/>
            <w:tcBorders>
              <w:tl2br w:val="nil"/>
              <w:tr2bl w:val="nil"/>
            </w:tcBorders>
            <w:vAlign w:val="center"/>
          </w:tcPr>
          <w:p w14:paraId="4CF7473A">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3B813CE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942" w:type="dxa"/>
            <w:gridSpan w:val="3"/>
            <w:tcBorders>
              <w:tl2br w:val="nil"/>
              <w:tr2bl w:val="nil"/>
            </w:tcBorders>
            <w:vAlign w:val="center"/>
          </w:tcPr>
          <w:p w14:paraId="4A5F7700">
            <w:pPr>
              <w:spacing w:line="240" w:lineRule="auto"/>
              <w:ind w:right="13"/>
              <w:jc w:val="center"/>
              <w:rPr>
                <w:rFonts w:ascii="宋体" w:hAnsi="宋体" w:eastAsia="宋体" w:cs="宋体"/>
                <w:color w:val="auto"/>
                <w:spacing w:val="6"/>
                <w:sz w:val="24"/>
                <w:szCs w:val="24"/>
                <w:highlight w:val="none"/>
              </w:rPr>
            </w:pPr>
          </w:p>
        </w:tc>
      </w:tr>
      <w:tr w14:paraId="7C1DEF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536" w:type="dxa"/>
            <w:vMerge w:val="continue"/>
            <w:tcBorders>
              <w:tl2br w:val="nil"/>
              <w:tr2bl w:val="nil"/>
            </w:tcBorders>
            <w:vAlign w:val="center"/>
          </w:tcPr>
          <w:p w14:paraId="7846341D">
            <w:pPr>
              <w:spacing w:line="240" w:lineRule="auto"/>
              <w:ind w:right="13"/>
              <w:jc w:val="center"/>
              <w:rPr>
                <w:rFonts w:ascii="宋体" w:hAnsi="宋体" w:eastAsia="宋体" w:cs="宋体"/>
                <w:color w:val="auto"/>
                <w:spacing w:val="6"/>
                <w:sz w:val="24"/>
                <w:szCs w:val="24"/>
                <w:highlight w:val="none"/>
              </w:rPr>
            </w:pPr>
          </w:p>
        </w:tc>
        <w:tc>
          <w:tcPr>
            <w:tcW w:w="952" w:type="dxa"/>
            <w:tcBorders>
              <w:tl2br w:val="nil"/>
              <w:tr2bl w:val="nil"/>
            </w:tcBorders>
            <w:vAlign w:val="center"/>
          </w:tcPr>
          <w:p w14:paraId="2AA5AD9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c>
          <w:tcPr>
            <w:tcW w:w="2474" w:type="dxa"/>
            <w:gridSpan w:val="2"/>
            <w:tcBorders>
              <w:tl2br w:val="nil"/>
              <w:tr2bl w:val="nil"/>
            </w:tcBorders>
            <w:vAlign w:val="center"/>
          </w:tcPr>
          <w:p w14:paraId="6D08C224">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0736FEC2">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网址</w:t>
            </w:r>
          </w:p>
        </w:tc>
        <w:tc>
          <w:tcPr>
            <w:tcW w:w="1942" w:type="dxa"/>
            <w:gridSpan w:val="3"/>
            <w:tcBorders>
              <w:tl2br w:val="nil"/>
              <w:tr2bl w:val="nil"/>
            </w:tcBorders>
            <w:vAlign w:val="center"/>
          </w:tcPr>
          <w:p w14:paraId="721793DC">
            <w:pPr>
              <w:spacing w:line="240" w:lineRule="auto"/>
              <w:ind w:right="13"/>
              <w:jc w:val="center"/>
              <w:rPr>
                <w:rFonts w:ascii="宋体" w:hAnsi="宋体" w:eastAsia="宋体" w:cs="宋体"/>
                <w:color w:val="auto"/>
                <w:spacing w:val="6"/>
                <w:sz w:val="24"/>
                <w:szCs w:val="24"/>
                <w:highlight w:val="none"/>
              </w:rPr>
            </w:pPr>
          </w:p>
        </w:tc>
      </w:tr>
      <w:tr w14:paraId="64232C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232C914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组织结构</w:t>
            </w:r>
          </w:p>
        </w:tc>
        <w:tc>
          <w:tcPr>
            <w:tcW w:w="6682" w:type="dxa"/>
            <w:gridSpan w:val="7"/>
            <w:tcBorders>
              <w:tl2br w:val="nil"/>
              <w:tr2bl w:val="nil"/>
            </w:tcBorders>
            <w:vAlign w:val="center"/>
          </w:tcPr>
          <w:p w14:paraId="1727471D">
            <w:pPr>
              <w:spacing w:line="240" w:lineRule="auto"/>
              <w:ind w:right="13"/>
              <w:jc w:val="center"/>
              <w:rPr>
                <w:rFonts w:ascii="宋体" w:hAnsi="宋体" w:eastAsia="宋体" w:cs="宋体"/>
                <w:color w:val="auto"/>
                <w:spacing w:val="6"/>
                <w:sz w:val="24"/>
                <w:szCs w:val="24"/>
                <w:highlight w:val="none"/>
              </w:rPr>
            </w:pPr>
          </w:p>
        </w:tc>
      </w:tr>
      <w:tr w14:paraId="5C53FD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6D84310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w:t>
            </w:r>
          </w:p>
          <w:p w14:paraId="34A6936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(负责人)</w:t>
            </w:r>
          </w:p>
        </w:tc>
        <w:tc>
          <w:tcPr>
            <w:tcW w:w="952" w:type="dxa"/>
            <w:tcBorders>
              <w:tl2br w:val="nil"/>
              <w:tr2bl w:val="nil"/>
            </w:tcBorders>
            <w:vAlign w:val="center"/>
          </w:tcPr>
          <w:p w14:paraId="42EA4422">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36CB67B5">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444EBC9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39E0710F">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2753726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3F42A78F">
            <w:pPr>
              <w:spacing w:line="240" w:lineRule="auto"/>
              <w:ind w:right="13"/>
              <w:jc w:val="center"/>
              <w:rPr>
                <w:rFonts w:ascii="宋体" w:hAnsi="宋体" w:eastAsia="宋体" w:cs="宋体"/>
                <w:color w:val="auto"/>
                <w:spacing w:val="6"/>
                <w:sz w:val="24"/>
                <w:szCs w:val="24"/>
                <w:highlight w:val="none"/>
              </w:rPr>
            </w:pPr>
          </w:p>
        </w:tc>
      </w:tr>
      <w:tr w14:paraId="72B8A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02B8DAB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技术负责人</w:t>
            </w:r>
          </w:p>
        </w:tc>
        <w:tc>
          <w:tcPr>
            <w:tcW w:w="952" w:type="dxa"/>
            <w:tcBorders>
              <w:tl2br w:val="nil"/>
              <w:tr2bl w:val="nil"/>
            </w:tcBorders>
            <w:vAlign w:val="center"/>
          </w:tcPr>
          <w:p w14:paraId="000E61C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052366DE">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70D7761E">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6FFB1511">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196DC7C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6F704069">
            <w:pPr>
              <w:spacing w:line="240" w:lineRule="auto"/>
              <w:ind w:right="13"/>
              <w:jc w:val="center"/>
              <w:rPr>
                <w:rFonts w:ascii="宋体" w:hAnsi="宋体" w:eastAsia="宋体" w:cs="宋体"/>
                <w:color w:val="auto"/>
                <w:spacing w:val="6"/>
                <w:sz w:val="24"/>
                <w:szCs w:val="24"/>
                <w:highlight w:val="none"/>
              </w:rPr>
            </w:pPr>
          </w:p>
        </w:tc>
      </w:tr>
      <w:tr w14:paraId="4253CE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7701CAE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成立时间</w:t>
            </w:r>
          </w:p>
        </w:tc>
        <w:tc>
          <w:tcPr>
            <w:tcW w:w="2185" w:type="dxa"/>
            <w:gridSpan w:val="2"/>
            <w:tcBorders>
              <w:tl2br w:val="nil"/>
              <w:tr2bl w:val="nil"/>
            </w:tcBorders>
            <w:vAlign w:val="center"/>
          </w:tcPr>
          <w:p w14:paraId="639F355B">
            <w:pPr>
              <w:spacing w:line="240" w:lineRule="auto"/>
              <w:ind w:right="13"/>
              <w:jc w:val="center"/>
              <w:rPr>
                <w:rFonts w:ascii="宋体" w:hAnsi="宋体" w:eastAsia="宋体" w:cs="宋体"/>
                <w:color w:val="auto"/>
                <w:spacing w:val="6"/>
                <w:sz w:val="24"/>
                <w:szCs w:val="24"/>
                <w:highlight w:val="none"/>
              </w:rPr>
            </w:pPr>
          </w:p>
        </w:tc>
        <w:tc>
          <w:tcPr>
            <w:tcW w:w="4497" w:type="dxa"/>
            <w:gridSpan w:val="5"/>
            <w:tcBorders>
              <w:tl2br w:val="nil"/>
              <w:tr2bl w:val="nil"/>
            </w:tcBorders>
            <w:vAlign w:val="center"/>
          </w:tcPr>
          <w:p w14:paraId="33376221">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员工总人数：</w:t>
            </w:r>
          </w:p>
        </w:tc>
      </w:tr>
      <w:tr w14:paraId="20F55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0C49D93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企业资质等</w:t>
            </w:r>
          </w:p>
          <w:p w14:paraId="0D1ED05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级</w:t>
            </w:r>
          </w:p>
        </w:tc>
        <w:tc>
          <w:tcPr>
            <w:tcW w:w="2185" w:type="dxa"/>
            <w:gridSpan w:val="2"/>
            <w:tcBorders>
              <w:tl2br w:val="nil"/>
              <w:tr2bl w:val="nil"/>
            </w:tcBorders>
            <w:vAlign w:val="center"/>
          </w:tcPr>
          <w:p w14:paraId="17C7304D">
            <w:pPr>
              <w:spacing w:line="240" w:lineRule="auto"/>
              <w:ind w:right="13"/>
              <w:jc w:val="center"/>
              <w:rPr>
                <w:rFonts w:ascii="宋体" w:hAnsi="宋体" w:eastAsia="宋体" w:cs="宋体"/>
                <w:color w:val="auto"/>
                <w:spacing w:val="6"/>
                <w:sz w:val="24"/>
                <w:szCs w:val="24"/>
                <w:highlight w:val="none"/>
              </w:rPr>
            </w:pPr>
          </w:p>
        </w:tc>
        <w:tc>
          <w:tcPr>
            <w:tcW w:w="1241" w:type="dxa"/>
            <w:vMerge w:val="restart"/>
            <w:tcBorders>
              <w:tl2br w:val="nil"/>
              <w:tr2bl w:val="nil"/>
            </w:tcBorders>
            <w:vAlign w:val="center"/>
          </w:tcPr>
          <w:p w14:paraId="284E3891">
            <w:pPr>
              <w:spacing w:line="240" w:lineRule="auto"/>
              <w:ind w:right="13"/>
              <w:jc w:val="center"/>
              <w:rPr>
                <w:rFonts w:ascii="宋体" w:hAnsi="宋体" w:eastAsia="宋体" w:cs="宋体"/>
                <w:color w:val="auto"/>
                <w:spacing w:val="6"/>
                <w:sz w:val="24"/>
                <w:szCs w:val="24"/>
                <w:highlight w:val="none"/>
              </w:rPr>
            </w:pPr>
          </w:p>
          <w:p w14:paraId="0383F094">
            <w:pPr>
              <w:spacing w:line="240" w:lineRule="auto"/>
              <w:ind w:right="13"/>
              <w:jc w:val="center"/>
              <w:rPr>
                <w:rFonts w:ascii="宋体" w:hAnsi="宋体" w:eastAsia="宋体" w:cs="宋体"/>
                <w:color w:val="auto"/>
                <w:spacing w:val="6"/>
                <w:sz w:val="24"/>
                <w:szCs w:val="24"/>
                <w:highlight w:val="none"/>
              </w:rPr>
            </w:pPr>
          </w:p>
          <w:p w14:paraId="34B75F00">
            <w:pPr>
              <w:spacing w:line="240" w:lineRule="auto"/>
              <w:ind w:right="13"/>
              <w:jc w:val="center"/>
              <w:rPr>
                <w:rFonts w:ascii="宋体" w:hAnsi="宋体" w:eastAsia="宋体" w:cs="宋体"/>
                <w:color w:val="auto"/>
                <w:spacing w:val="6"/>
                <w:sz w:val="24"/>
                <w:szCs w:val="24"/>
                <w:highlight w:val="none"/>
              </w:rPr>
            </w:pPr>
          </w:p>
          <w:p w14:paraId="58461EE2">
            <w:pPr>
              <w:spacing w:line="240" w:lineRule="auto"/>
              <w:ind w:right="13"/>
              <w:jc w:val="center"/>
              <w:rPr>
                <w:rFonts w:ascii="宋体" w:hAnsi="宋体" w:eastAsia="宋体" w:cs="宋体"/>
                <w:color w:val="auto"/>
                <w:spacing w:val="6"/>
                <w:sz w:val="24"/>
                <w:szCs w:val="24"/>
                <w:highlight w:val="none"/>
              </w:rPr>
            </w:pPr>
          </w:p>
          <w:p w14:paraId="78541131">
            <w:pPr>
              <w:spacing w:line="240" w:lineRule="auto"/>
              <w:ind w:right="13"/>
              <w:jc w:val="center"/>
              <w:rPr>
                <w:rFonts w:ascii="宋体" w:hAnsi="宋体" w:eastAsia="宋体" w:cs="宋体"/>
                <w:color w:val="auto"/>
                <w:spacing w:val="6"/>
                <w:sz w:val="24"/>
                <w:szCs w:val="24"/>
                <w:highlight w:val="none"/>
              </w:rPr>
            </w:pPr>
          </w:p>
          <w:p w14:paraId="49F24875">
            <w:pPr>
              <w:spacing w:line="240" w:lineRule="auto"/>
              <w:ind w:right="13"/>
              <w:jc w:val="center"/>
              <w:rPr>
                <w:rFonts w:ascii="宋体" w:hAnsi="宋体" w:eastAsia="宋体" w:cs="宋体"/>
                <w:color w:val="auto"/>
                <w:spacing w:val="6"/>
                <w:sz w:val="24"/>
                <w:szCs w:val="24"/>
                <w:highlight w:val="none"/>
              </w:rPr>
            </w:pPr>
          </w:p>
          <w:p w14:paraId="40132AF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其中</w:t>
            </w:r>
          </w:p>
        </w:tc>
        <w:tc>
          <w:tcPr>
            <w:tcW w:w="1471" w:type="dxa"/>
            <w:gridSpan w:val="2"/>
            <w:tcBorders>
              <w:tl2br w:val="nil"/>
              <w:tr2bl w:val="nil"/>
            </w:tcBorders>
            <w:vAlign w:val="center"/>
          </w:tcPr>
          <w:p w14:paraId="5A36406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项目经理</w:t>
            </w:r>
          </w:p>
        </w:tc>
        <w:tc>
          <w:tcPr>
            <w:tcW w:w="1785" w:type="dxa"/>
            <w:gridSpan w:val="2"/>
            <w:tcBorders>
              <w:tl2br w:val="nil"/>
              <w:tr2bl w:val="nil"/>
            </w:tcBorders>
            <w:vAlign w:val="center"/>
          </w:tcPr>
          <w:p w14:paraId="6E77F57D">
            <w:pPr>
              <w:spacing w:line="240" w:lineRule="auto"/>
              <w:ind w:right="13"/>
              <w:jc w:val="center"/>
              <w:rPr>
                <w:rFonts w:ascii="宋体" w:hAnsi="宋体" w:eastAsia="宋体" w:cs="宋体"/>
                <w:color w:val="auto"/>
                <w:spacing w:val="6"/>
                <w:sz w:val="24"/>
                <w:szCs w:val="24"/>
                <w:highlight w:val="none"/>
              </w:rPr>
            </w:pPr>
          </w:p>
        </w:tc>
      </w:tr>
      <w:tr w14:paraId="251DF4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5D05174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营业执照号</w:t>
            </w:r>
          </w:p>
        </w:tc>
        <w:tc>
          <w:tcPr>
            <w:tcW w:w="2185" w:type="dxa"/>
            <w:gridSpan w:val="2"/>
            <w:tcBorders>
              <w:tl2br w:val="nil"/>
              <w:tr2bl w:val="nil"/>
            </w:tcBorders>
            <w:vAlign w:val="center"/>
          </w:tcPr>
          <w:p w14:paraId="1725ADCE">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5AB51B94">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679E036E">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高级职称人</w:t>
            </w:r>
          </w:p>
          <w:p w14:paraId="308FC9E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1130A882">
            <w:pPr>
              <w:spacing w:line="240" w:lineRule="auto"/>
              <w:ind w:right="13"/>
              <w:jc w:val="center"/>
              <w:rPr>
                <w:rFonts w:ascii="宋体" w:hAnsi="宋体" w:eastAsia="宋体" w:cs="宋体"/>
                <w:color w:val="auto"/>
                <w:spacing w:val="6"/>
                <w:sz w:val="24"/>
                <w:szCs w:val="24"/>
                <w:highlight w:val="none"/>
              </w:rPr>
            </w:pPr>
          </w:p>
        </w:tc>
      </w:tr>
      <w:tr w14:paraId="7A2AB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21CFC07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注册资金</w:t>
            </w:r>
          </w:p>
        </w:tc>
        <w:tc>
          <w:tcPr>
            <w:tcW w:w="2185" w:type="dxa"/>
            <w:gridSpan w:val="2"/>
            <w:tcBorders>
              <w:tl2br w:val="nil"/>
              <w:tr2bl w:val="nil"/>
            </w:tcBorders>
            <w:vAlign w:val="center"/>
          </w:tcPr>
          <w:p w14:paraId="60393ECD">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7923EF2E">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4A53BD7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中级职称人</w:t>
            </w:r>
          </w:p>
          <w:p w14:paraId="2C7B573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419BA00B">
            <w:pPr>
              <w:spacing w:line="240" w:lineRule="auto"/>
              <w:ind w:right="13"/>
              <w:jc w:val="center"/>
              <w:rPr>
                <w:rFonts w:ascii="宋体" w:hAnsi="宋体" w:eastAsia="宋体" w:cs="宋体"/>
                <w:color w:val="auto"/>
                <w:spacing w:val="6"/>
                <w:sz w:val="24"/>
                <w:szCs w:val="24"/>
                <w:highlight w:val="none"/>
              </w:rPr>
            </w:pPr>
          </w:p>
        </w:tc>
      </w:tr>
      <w:tr w14:paraId="53963C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3A74280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c>
          <w:tcPr>
            <w:tcW w:w="2185" w:type="dxa"/>
            <w:gridSpan w:val="2"/>
            <w:tcBorders>
              <w:tl2br w:val="nil"/>
              <w:tr2bl w:val="nil"/>
            </w:tcBorders>
            <w:vAlign w:val="center"/>
          </w:tcPr>
          <w:p w14:paraId="6C86C9D1">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66743102">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2A533DC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初级职称人 员</w:t>
            </w:r>
          </w:p>
        </w:tc>
        <w:tc>
          <w:tcPr>
            <w:tcW w:w="1785" w:type="dxa"/>
            <w:gridSpan w:val="2"/>
            <w:tcBorders>
              <w:tl2br w:val="nil"/>
              <w:tr2bl w:val="nil"/>
            </w:tcBorders>
            <w:vAlign w:val="center"/>
          </w:tcPr>
          <w:p w14:paraId="2B413BE7">
            <w:pPr>
              <w:spacing w:line="240" w:lineRule="auto"/>
              <w:ind w:right="13"/>
              <w:jc w:val="center"/>
              <w:rPr>
                <w:rFonts w:ascii="宋体" w:hAnsi="宋体" w:eastAsia="宋体" w:cs="宋体"/>
                <w:color w:val="auto"/>
                <w:spacing w:val="6"/>
                <w:sz w:val="24"/>
                <w:szCs w:val="24"/>
                <w:highlight w:val="none"/>
              </w:rPr>
            </w:pPr>
          </w:p>
        </w:tc>
      </w:tr>
      <w:tr w14:paraId="032635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3C9FADB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c>
          <w:tcPr>
            <w:tcW w:w="2185" w:type="dxa"/>
            <w:gridSpan w:val="2"/>
            <w:tcBorders>
              <w:tl2br w:val="nil"/>
              <w:tr2bl w:val="nil"/>
            </w:tcBorders>
            <w:vAlign w:val="center"/>
          </w:tcPr>
          <w:p w14:paraId="4CF119EA">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63C0A77B">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237FCB0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技工</w:t>
            </w:r>
          </w:p>
        </w:tc>
        <w:tc>
          <w:tcPr>
            <w:tcW w:w="1785" w:type="dxa"/>
            <w:gridSpan w:val="2"/>
            <w:tcBorders>
              <w:tl2br w:val="nil"/>
              <w:tr2bl w:val="nil"/>
            </w:tcBorders>
            <w:vAlign w:val="center"/>
          </w:tcPr>
          <w:p w14:paraId="737C2A03">
            <w:pPr>
              <w:spacing w:line="240" w:lineRule="auto"/>
              <w:ind w:right="13"/>
              <w:jc w:val="center"/>
              <w:rPr>
                <w:rFonts w:ascii="宋体" w:hAnsi="宋体" w:eastAsia="宋体" w:cs="宋体"/>
                <w:color w:val="auto"/>
                <w:spacing w:val="6"/>
                <w:sz w:val="24"/>
                <w:szCs w:val="24"/>
                <w:highlight w:val="none"/>
              </w:rPr>
            </w:pPr>
          </w:p>
        </w:tc>
      </w:tr>
      <w:tr w14:paraId="512E56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536" w:type="dxa"/>
            <w:tcBorders>
              <w:tl2br w:val="nil"/>
              <w:tr2bl w:val="nil"/>
            </w:tcBorders>
            <w:vAlign w:val="center"/>
          </w:tcPr>
          <w:p w14:paraId="1B457111">
            <w:pPr>
              <w:spacing w:line="240" w:lineRule="auto"/>
              <w:ind w:right="13"/>
              <w:jc w:val="center"/>
              <w:rPr>
                <w:rFonts w:ascii="宋体" w:hAnsi="宋体" w:eastAsia="宋体" w:cs="宋体"/>
                <w:color w:val="auto"/>
                <w:spacing w:val="6"/>
                <w:sz w:val="24"/>
                <w:szCs w:val="24"/>
                <w:highlight w:val="none"/>
              </w:rPr>
            </w:pPr>
          </w:p>
          <w:p w14:paraId="23FF003B">
            <w:pPr>
              <w:spacing w:line="240" w:lineRule="auto"/>
              <w:ind w:right="13"/>
              <w:jc w:val="center"/>
              <w:rPr>
                <w:rFonts w:ascii="宋体" w:hAnsi="宋体" w:eastAsia="宋体" w:cs="宋体"/>
                <w:color w:val="auto"/>
                <w:spacing w:val="6"/>
                <w:sz w:val="24"/>
                <w:szCs w:val="24"/>
                <w:highlight w:val="none"/>
              </w:rPr>
            </w:pPr>
          </w:p>
          <w:p w14:paraId="75BC0618">
            <w:pPr>
              <w:spacing w:line="240" w:lineRule="auto"/>
              <w:ind w:right="13"/>
              <w:jc w:val="center"/>
              <w:rPr>
                <w:rFonts w:ascii="宋体" w:hAnsi="宋体" w:eastAsia="宋体" w:cs="宋体"/>
                <w:color w:val="auto"/>
                <w:spacing w:val="6"/>
                <w:sz w:val="24"/>
                <w:szCs w:val="24"/>
                <w:highlight w:val="none"/>
              </w:rPr>
            </w:pPr>
          </w:p>
          <w:p w14:paraId="399D51C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经营范围</w:t>
            </w:r>
          </w:p>
        </w:tc>
        <w:tc>
          <w:tcPr>
            <w:tcW w:w="6682" w:type="dxa"/>
            <w:gridSpan w:val="7"/>
            <w:tcBorders>
              <w:tl2br w:val="nil"/>
              <w:tr2bl w:val="nil"/>
            </w:tcBorders>
            <w:vAlign w:val="center"/>
          </w:tcPr>
          <w:p w14:paraId="477E4A1A">
            <w:pPr>
              <w:spacing w:line="240" w:lineRule="auto"/>
              <w:ind w:right="13"/>
              <w:jc w:val="center"/>
              <w:rPr>
                <w:rFonts w:ascii="宋体" w:hAnsi="宋体" w:eastAsia="宋体" w:cs="宋体"/>
                <w:color w:val="auto"/>
                <w:spacing w:val="6"/>
                <w:sz w:val="24"/>
                <w:szCs w:val="24"/>
                <w:highlight w:val="none"/>
              </w:rPr>
            </w:pPr>
          </w:p>
        </w:tc>
      </w:tr>
      <w:tr w14:paraId="52B38B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536" w:type="dxa"/>
            <w:tcBorders>
              <w:tl2br w:val="nil"/>
              <w:tr2bl w:val="nil"/>
            </w:tcBorders>
            <w:vAlign w:val="center"/>
          </w:tcPr>
          <w:p w14:paraId="428F814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c>
          <w:tcPr>
            <w:tcW w:w="6682" w:type="dxa"/>
            <w:gridSpan w:val="7"/>
            <w:tcBorders>
              <w:tl2br w:val="nil"/>
              <w:tr2bl w:val="nil"/>
            </w:tcBorders>
            <w:vAlign w:val="center"/>
          </w:tcPr>
          <w:p w14:paraId="58C8383C">
            <w:pPr>
              <w:spacing w:line="240" w:lineRule="auto"/>
              <w:ind w:right="13"/>
              <w:jc w:val="center"/>
              <w:rPr>
                <w:rFonts w:ascii="宋体" w:hAnsi="宋体" w:eastAsia="宋体" w:cs="宋体"/>
                <w:color w:val="auto"/>
                <w:spacing w:val="6"/>
                <w:sz w:val="24"/>
                <w:szCs w:val="24"/>
                <w:highlight w:val="none"/>
              </w:rPr>
            </w:pPr>
          </w:p>
        </w:tc>
      </w:tr>
    </w:tbl>
    <w:p w14:paraId="1A686320">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 xml:space="preserve">注：此表格中需要填写的若无涉及可不填写此项或“/”。 </w:t>
      </w:r>
    </w:p>
    <w:p w14:paraId="66DB26F9">
      <w:pPr>
        <w:spacing w:before="76" w:line="240" w:lineRule="auto"/>
        <w:ind w:left="494" w:right="589" w:firstLine="1"/>
        <w:rPr>
          <w:rFonts w:ascii="宋体" w:hAnsi="宋体" w:eastAsia="宋体" w:cs="宋体"/>
          <w:color w:val="auto"/>
          <w:sz w:val="24"/>
          <w:szCs w:val="24"/>
          <w:highlight w:val="none"/>
        </w:rPr>
      </w:pPr>
    </w:p>
    <w:p w14:paraId="076A4F82">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A08F615">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23A86881">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026C74">
      <w:pPr>
        <w:spacing w:before="0" w:line="240" w:lineRule="auto"/>
        <w:ind w:left="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br w:type="page"/>
      </w:r>
    </w:p>
    <w:p w14:paraId="30458C52">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、投标人类似项目业绩一览表</w:t>
      </w:r>
    </w:p>
    <w:p w14:paraId="2C2310E9">
      <w:pPr>
        <w:spacing w:line="240" w:lineRule="auto"/>
        <w:rPr>
          <w:color w:val="auto"/>
          <w:highlight w:val="none"/>
        </w:rPr>
      </w:pPr>
    </w:p>
    <w:p w14:paraId="0702F1D2">
      <w:pPr>
        <w:spacing w:line="240" w:lineRule="auto"/>
        <w:rPr>
          <w:color w:val="auto"/>
          <w:highlight w:val="none"/>
        </w:rPr>
      </w:pPr>
    </w:p>
    <w:tbl>
      <w:tblPr>
        <w:tblStyle w:val="23"/>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19"/>
        <w:gridCol w:w="20"/>
        <w:gridCol w:w="1300"/>
        <w:gridCol w:w="20"/>
        <w:gridCol w:w="1161"/>
        <w:gridCol w:w="1265"/>
        <w:gridCol w:w="1912"/>
        <w:gridCol w:w="760"/>
      </w:tblGrid>
      <w:tr w14:paraId="107E3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724" w:type="dxa"/>
            <w:tcBorders>
              <w:right w:val="single" w:color="000000" w:sz="4" w:space="0"/>
            </w:tcBorders>
            <w:vAlign w:val="center"/>
          </w:tcPr>
          <w:p w14:paraId="3B3171D5">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年份</w:t>
            </w:r>
          </w:p>
        </w:tc>
        <w:tc>
          <w:tcPr>
            <w:tcW w:w="1419" w:type="dxa"/>
            <w:tcBorders>
              <w:left w:val="single" w:color="000000" w:sz="4" w:space="0"/>
              <w:right w:val="single" w:color="000000" w:sz="4" w:space="0"/>
            </w:tcBorders>
            <w:vAlign w:val="center"/>
          </w:tcPr>
          <w:p w14:paraId="1B7A9629">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用户名称</w:t>
            </w:r>
          </w:p>
        </w:tc>
        <w:tc>
          <w:tcPr>
            <w:tcW w:w="1320" w:type="dxa"/>
            <w:gridSpan w:val="2"/>
            <w:tcBorders>
              <w:left w:val="single" w:color="000000" w:sz="4" w:space="0"/>
              <w:right w:val="single" w:color="000000" w:sz="4" w:space="0"/>
            </w:tcBorders>
            <w:vAlign w:val="center"/>
          </w:tcPr>
          <w:p w14:paraId="70FB86F7">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项目名称</w:t>
            </w:r>
          </w:p>
        </w:tc>
        <w:tc>
          <w:tcPr>
            <w:tcW w:w="1181" w:type="dxa"/>
            <w:gridSpan w:val="2"/>
            <w:tcBorders>
              <w:left w:val="single" w:color="000000" w:sz="4" w:space="0"/>
              <w:right w:val="single" w:color="000000" w:sz="4" w:space="0"/>
            </w:tcBorders>
            <w:vAlign w:val="center"/>
          </w:tcPr>
          <w:p w14:paraId="09116FE0">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完成时间</w:t>
            </w:r>
          </w:p>
        </w:tc>
        <w:tc>
          <w:tcPr>
            <w:tcW w:w="1265" w:type="dxa"/>
            <w:tcBorders>
              <w:left w:val="single" w:color="000000" w:sz="4" w:space="0"/>
              <w:right w:val="single" w:color="000000" w:sz="4" w:space="0"/>
            </w:tcBorders>
            <w:vAlign w:val="center"/>
          </w:tcPr>
          <w:p w14:paraId="156DD870">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合同金额</w:t>
            </w:r>
          </w:p>
        </w:tc>
        <w:tc>
          <w:tcPr>
            <w:tcW w:w="1912" w:type="dxa"/>
            <w:tcBorders>
              <w:left w:val="single" w:color="000000" w:sz="4" w:space="0"/>
            </w:tcBorders>
            <w:vAlign w:val="center"/>
          </w:tcPr>
          <w:p w14:paraId="1B1D56AD">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是否通过验收</w:t>
            </w:r>
          </w:p>
        </w:tc>
        <w:tc>
          <w:tcPr>
            <w:tcW w:w="760" w:type="dxa"/>
            <w:vAlign w:val="center"/>
          </w:tcPr>
          <w:p w14:paraId="78B0206E">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备注</w:t>
            </w:r>
          </w:p>
        </w:tc>
      </w:tr>
      <w:tr w14:paraId="122F5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57C12DD">
            <w:pPr>
              <w:spacing w:line="240" w:lineRule="auto"/>
              <w:rPr>
                <w:color w:val="auto"/>
                <w:highlight w:val="none"/>
              </w:rPr>
            </w:pPr>
          </w:p>
        </w:tc>
        <w:tc>
          <w:tcPr>
            <w:tcW w:w="1419" w:type="dxa"/>
            <w:tcBorders>
              <w:left w:val="single" w:color="000000" w:sz="4" w:space="0"/>
              <w:right w:val="single" w:color="000000" w:sz="4" w:space="0"/>
            </w:tcBorders>
          </w:tcPr>
          <w:p w14:paraId="4478C91B">
            <w:pPr>
              <w:spacing w:line="240" w:lineRule="auto"/>
              <w:rPr>
                <w:color w:val="auto"/>
                <w:highlight w:val="none"/>
              </w:rPr>
            </w:pPr>
          </w:p>
        </w:tc>
        <w:tc>
          <w:tcPr>
            <w:tcW w:w="1320" w:type="dxa"/>
            <w:gridSpan w:val="2"/>
            <w:tcBorders>
              <w:left w:val="single" w:color="000000" w:sz="4" w:space="0"/>
              <w:right w:val="single" w:color="000000" w:sz="4" w:space="0"/>
            </w:tcBorders>
          </w:tcPr>
          <w:p w14:paraId="61D81FD8">
            <w:pPr>
              <w:spacing w:line="240" w:lineRule="auto"/>
              <w:rPr>
                <w:color w:val="auto"/>
                <w:highlight w:val="none"/>
              </w:rPr>
            </w:pPr>
          </w:p>
        </w:tc>
        <w:tc>
          <w:tcPr>
            <w:tcW w:w="1181" w:type="dxa"/>
            <w:gridSpan w:val="2"/>
            <w:tcBorders>
              <w:left w:val="single" w:color="000000" w:sz="4" w:space="0"/>
              <w:right w:val="single" w:color="000000" w:sz="4" w:space="0"/>
            </w:tcBorders>
          </w:tcPr>
          <w:p w14:paraId="6049B76E">
            <w:pPr>
              <w:spacing w:line="240" w:lineRule="auto"/>
              <w:rPr>
                <w:color w:val="auto"/>
                <w:highlight w:val="none"/>
              </w:rPr>
            </w:pPr>
          </w:p>
        </w:tc>
        <w:tc>
          <w:tcPr>
            <w:tcW w:w="1265" w:type="dxa"/>
            <w:tcBorders>
              <w:left w:val="single" w:color="000000" w:sz="4" w:space="0"/>
              <w:right w:val="single" w:color="000000" w:sz="4" w:space="0"/>
            </w:tcBorders>
          </w:tcPr>
          <w:p w14:paraId="5AB82CE7">
            <w:pPr>
              <w:spacing w:line="240" w:lineRule="auto"/>
              <w:rPr>
                <w:color w:val="auto"/>
                <w:highlight w:val="none"/>
              </w:rPr>
            </w:pPr>
          </w:p>
        </w:tc>
        <w:tc>
          <w:tcPr>
            <w:tcW w:w="1912" w:type="dxa"/>
            <w:tcBorders>
              <w:left w:val="single" w:color="000000" w:sz="4" w:space="0"/>
            </w:tcBorders>
          </w:tcPr>
          <w:p w14:paraId="2ECBDEFA">
            <w:pPr>
              <w:spacing w:line="240" w:lineRule="auto"/>
              <w:rPr>
                <w:color w:val="auto"/>
                <w:highlight w:val="none"/>
              </w:rPr>
            </w:pPr>
          </w:p>
        </w:tc>
        <w:tc>
          <w:tcPr>
            <w:tcW w:w="760" w:type="dxa"/>
          </w:tcPr>
          <w:p w14:paraId="222014A6">
            <w:pPr>
              <w:spacing w:line="240" w:lineRule="auto"/>
              <w:rPr>
                <w:color w:val="auto"/>
                <w:highlight w:val="none"/>
              </w:rPr>
            </w:pPr>
          </w:p>
        </w:tc>
      </w:tr>
      <w:tr w14:paraId="156B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008B63CA">
            <w:pPr>
              <w:spacing w:line="240" w:lineRule="auto"/>
              <w:rPr>
                <w:color w:val="auto"/>
                <w:highlight w:val="none"/>
              </w:rPr>
            </w:pPr>
          </w:p>
        </w:tc>
        <w:tc>
          <w:tcPr>
            <w:tcW w:w="1419" w:type="dxa"/>
            <w:tcBorders>
              <w:left w:val="single" w:color="000000" w:sz="4" w:space="0"/>
              <w:right w:val="single" w:color="000000" w:sz="4" w:space="0"/>
            </w:tcBorders>
          </w:tcPr>
          <w:p w14:paraId="2D3AE205">
            <w:pPr>
              <w:spacing w:line="240" w:lineRule="auto"/>
              <w:rPr>
                <w:color w:val="auto"/>
                <w:highlight w:val="none"/>
              </w:rPr>
            </w:pPr>
          </w:p>
        </w:tc>
        <w:tc>
          <w:tcPr>
            <w:tcW w:w="1320" w:type="dxa"/>
            <w:gridSpan w:val="2"/>
            <w:tcBorders>
              <w:left w:val="single" w:color="000000" w:sz="4" w:space="0"/>
              <w:right w:val="single" w:color="000000" w:sz="4" w:space="0"/>
            </w:tcBorders>
          </w:tcPr>
          <w:p w14:paraId="10D0DAB2">
            <w:pPr>
              <w:spacing w:line="240" w:lineRule="auto"/>
              <w:rPr>
                <w:color w:val="auto"/>
                <w:highlight w:val="none"/>
              </w:rPr>
            </w:pPr>
          </w:p>
        </w:tc>
        <w:tc>
          <w:tcPr>
            <w:tcW w:w="1181" w:type="dxa"/>
            <w:gridSpan w:val="2"/>
            <w:tcBorders>
              <w:left w:val="single" w:color="000000" w:sz="4" w:space="0"/>
              <w:right w:val="single" w:color="000000" w:sz="4" w:space="0"/>
            </w:tcBorders>
          </w:tcPr>
          <w:p w14:paraId="1EF455C5">
            <w:pPr>
              <w:spacing w:line="240" w:lineRule="auto"/>
              <w:rPr>
                <w:color w:val="auto"/>
                <w:highlight w:val="none"/>
              </w:rPr>
            </w:pPr>
          </w:p>
        </w:tc>
        <w:tc>
          <w:tcPr>
            <w:tcW w:w="1265" w:type="dxa"/>
            <w:tcBorders>
              <w:left w:val="single" w:color="000000" w:sz="4" w:space="0"/>
              <w:right w:val="single" w:color="000000" w:sz="4" w:space="0"/>
            </w:tcBorders>
          </w:tcPr>
          <w:p w14:paraId="58217528">
            <w:pPr>
              <w:spacing w:line="240" w:lineRule="auto"/>
              <w:rPr>
                <w:color w:val="auto"/>
                <w:highlight w:val="none"/>
              </w:rPr>
            </w:pPr>
          </w:p>
        </w:tc>
        <w:tc>
          <w:tcPr>
            <w:tcW w:w="1912" w:type="dxa"/>
            <w:tcBorders>
              <w:left w:val="single" w:color="000000" w:sz="4" w:space="0"/>
            </w:tcBorders>
          </w:tcPr>
          <w:p w14:paraId="704A3845">
            <w:pPr>
              <w:spacing w:line="240" w:lineRule="auto"/>
              <w:rPr>
                <w:color w:val="auto"/>
                <w:highlight w:val="none"/>
              </w:rPr>
            </w:pPr>
          </w:p>
        </w:tc>
        <w:tc>
          <w:tcPr>
            <w:tcW w:w="760" w:type="dxa"/>
          </w:tcPr>
          <w:p w14:paraId="0BF2ECC9">
            <w:pPr>
              <w:spacing w:line="240" w:lineRule="auto"/>
              <w:rPr>
                <w:color w:val="auto"/>
                <w:highlight w:val="none"/>
              </w:rPr>
            </w:pPr>
          </w:p>
        </w:tc>
      </w:tr>
      <w:tr w14:paraId="3435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317B6149">
            <w:pPr>
              <w:spacing w:line="240" w:lineRule="auto"/>
              <w:rPr>
                <w:color w:val="auto"/>
                <w:highlight w:val="none"/>
              </w:rPr>
            </w:pPr>
          </w:p>
        </w:tc>
        <w:tc>
          <w:tcPr>
            <w:tcW w:w="1419" w:type="dxa"/>
            <w:tcBorders>
              <w:left w:val="single" w:color="000000" w:sz="4" w:space="0"/>
              <w:right w:val="single" w:color="000000" w:sz="4" w:space="0"/>
            </w:tcBorders>
          </w:tcPr>
          <w:p w14:paraId="4C7D97AD">
            <w:pPr>
              <w:spacing w:line="240" w:lineRule="auto"/>
              <w:rPr>
                <w:color w:val="auto"/>
                <w:highlight w:val="none"/>
              </w:rPr>
            </w:pPr>
          </w:p>
        </w:tc>
        <w:tc>
          <w:tcPr>
            <w:tcW w:w="1320" w:type="dxa"/>
            <w:gridSpan w:val="2"/>
            <w:tcBorders>
              <w:left w:val="single" w:color="000000" w:sz="4" w:space="0"/>
              <w:right w:val="single" w:color="000000" w:sz="4" w:space="0"/>
            </w:tcBorders>
          </w:tcPr>
          <w:p w14:paraId="6EB19650">
            <w:pPr>
              <w:spacing w:line="240" w:lineRule="auto"/>
              <w:rPr>
                <w:color w:val="auto"/>
                <w:highlight w:val="none"/>
              </w:rPr>
            </w:pPr>
          </w:p>
        </w:tc>
        <w:tc>
          <w:tcPr>
            <w:tcW w:w="1181" w:type="dxa"/>
            <w:gridSpan w:val="2"/>
            <w:tcBorders>
              <w:left w:val="single" w:color="000000" w:sz="4" w:space="0"/>
              <w:right w:val="single" w:color="000000" w:sz="4" w:space="0"/>
            </w:tcBorders>
          </w:tcPr>
          <w:p w14:paraId="098C07B6">
            <w:pPr>
              <w:spacing w:line="240" w:lineRule="auto"/>
              <w:rPr>
                <w:color w:val="auto"/>
                <w:highlight w:val="none"/>
              </w:rPr>
            </w:pPr>
          </w:p>
        </w:tc>
        <w:tc>
          <w:tcPr>
            <w:tcW w:w="1265" w:type="dxa"/>
            <w:tcBorders>
              <w:left w:val="single" w:color="000000" w:sz="4" w:space="0"/>
              <w:right w:val="single" w:color="000000" w:sz="4" w:space="0"/>
            </w:tcBorders>
          </w:tcPr>
          <w:p w14:paraId="781A1C84">
            <w:pPr>
              <w:spacing w:line="240" w:lineRule="auto"/>
              <w:rPr>
                <w:color w:val="auto"/>
                <w:highlight w:val="none"/>
              </w:rPr>
            </w:pPr>
          </w:p>
        </w:tc>
        <w:tc>
          <w:tcPr>
            <w:tcW w:w="1912" w:type="dxa"/>
            <w:tcBorders>
              <w:left w:val="single" w:color="000000" w:sz="4" w:space="0"/>
            </w:tcBorders>
          </w:tcPr>
          <w:p w14:paraId="689C5754">
            <w:pPr>
              <w:spacing w:line="240" w:lineRule="auto"/>
              <w:rPr>
                <w:color w:val="auto"/>
                <w:highlight w:val="none"/>
              </w:rPr>
            </w:pPr>
          </w:p>
        </w:tc>
        <w:tc>
          <w:tcPr>
            <w:tcW w:w="760" w:type="dxa"/>
          </w:tcPr>
          <w:p w14:paraId="09601A2B">
            <w:pPr>
              <w:spacing w:line="240" w:lineRule="auto"/>
              <w:rPr>
                <w:color w:val="auto"/>
                <w:highlight w:val="none"/>
              </w:rPr>
            </w:pPr>
          </w:p>
        </w:tc>
      </w:tr>
      <w:tr w14:paraId="088E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168D788">
            <w:pPr>
              <w:spacing w:line="240" w:lineRule="auto"/>
              <w:rPr>
                <w:color w:val="auto"/>
                <w:highlight w:val="none"/>
              </w:rPr>
            </w:pPr>
          </w:p>
        </w:tc>
        <w:tc>
          <w:tcPr>
            <w:tcW w:w="1439" w:type="dxa"/>
            <w:gridSpan w:val="2"/>
            <w:tcBorders>
              <w:left w:val="single" w:color="000000" w:sz="4" w:space="0"/>
            </w:tcBorders>
          </w:tcPr>
          <w:p w14:paraId="68E16293">
            <w:pPr>
              <w:spacing w:line="240" w:lineRule="auto"/>
              <w:rPr>
                <w:color w:val="auto"/>
                <w:highlight w:val="none"/>
              </w:rPr>
            </w:pPr>
          </w:p>
        </w:tc>
        <w:tc>
          <w:tcPr>
            <w:tcW w:w="1300" w:type="dxa"/>
            <w:tcBorders>
              <w:right w:val="single" w:color="000000" w:sz="4" w:space="0"/>
            </w:tcBorders>
          </w:tcPr>
          <w:p w14:paraId="7C095594">
            <w:pPr>
              <w:spacing w:line="240" w:lineRule="auto"/>
              <w:rPr>
                <w:color w:val="auto"/>
                <w:highlight w:val="none"/>
              </w:rPr>
            </w:pPr>
          </w:p>
        </w:tc>
        <w:tc>
          <w:tcPr>
            <w:tcW w:w="1181" w:type="dxa"/>
            <w:gridSpan w:val="2"/>
            <w:tcBorders>
              <w:left w:val="single" w:color="000000" w:sz="4" w:space="0"/>
              <w:right w:val="single" w:color="000000" w:sz="4" w:space="0"/>
            </w:tcBorders>
          </w:tcPr>
          <w:p w14:paraId="7F649C87">
            <w:pPr>
              <w:spacing w:line="240" w:lineRule="auto"/>
              <w:rPr>
                <w:color w:val="auto"/>
                <w:highlight w:val="none"/>
              </w:rPr>
            </w:pPr>
          </w:p>
        </w:tc>
        <w:tc>
          <w:tcPr>
            <w:tcW w:w="1265" w:type="dxa"/>
            <w:tcBorders>
              <w:left w:val="single" w:color="000000" w:sz="4" w:space="0"/>
              <w:right w:val="single" w:color="000000" w:sz="4" w:space="0"/>
            </w:tcBorders>
          </w:tcPr>
          <w:p w14:paraId="49F2D322">
            <w:pPr>
              <w:spacing w:line="240" w:lineRule="auto"/>
              <w:rPr>
                <w:color w:val="auto"/>
                <w:highlight w:val="none"/>
              </w:rPr>
            </w:pPr>
          </w:p>
        </w:tc>
        <w:tc>
          <w:tcPr>
            <w:tcW w:w="1912" w:type="dxa"/>
            <w:tcBorders>
              <w:left w:val="single" w:color="000000" w:sz="4" w:space="0"/>
            </w:tcBorders>
          </w:tcPr>
          <w:p w14:paraId="1D73FD54">
            <w:pPr>
              <w:spacing w:line="240" w:lineRule="auto"/>
              <w:rPr>
                <w:color w:val="auto"/>
                <w:highlight w:val="none"/>
              </w:rPr>
            </w:pPr>
          </w:p>
        </w:tc>
        <w:tc>
          <w:tcPr>
            <w:tcW w:w="760" w:type="dxa"/>
          </w:tcPr>
          <w:p w14:paraId="60BA38C3">
            <w:pPr>
              <w:spacing w:line="240" w:lineRule="auto"/>
              <w:rPr>
                <w:color w:val="auto"/>
                <w:highlight w:val="none"/>
              </w:rPr>
            </w:pPr>
          </w:p>
        </w:tc>
      </w:tr>
      <w:tr w14:paraId="5459C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Pr>
          <w:p w14:paraId="03E64C0B">
            <w:pPr>
              <w:spacing w:line="240" w:lineRule="auto"/>
              <w:rPr>
                <w:color w:val="auto"/>
                <w:highlight w:val="none"/>
              </w:rPr>
            </w:pPr>
          </w:p>
        </w:tc>
        <w:tc>
          <w:tcPr>
            <w:tcW w:w="1439" w:type="dxa"/>
            <w:gridSpan w:val="2"/>
          </w:tcPr>
          <w:p w14:paraId="2F534D40">
            <w:pPr>
              <w:spacing w:line="240" w:lineRule="auto"/>
              <w:rPr>
                <w:color w:val="auto"/>
                <w:highlight w:val="none"/>
              </w:rPr>
            </w:pPr>
          </w:p>
        </w:tc>
        <w:tc>
          <w:tcPr>
            <w:tcW w:w="1320" w:type="dxa"/>
            <w:gridSpan w:val="2"/>
          </w:tcPr>
          <w:p w14:paraId="1A807510">
            <w:pPr>
              <w:spacing w:line="240" w:lineRule="auto"/>
              <w:rPr>
                <w:color w:val="auto"/>
                <w:highlight w:val="none"/>
              </w:rPr>
            </w:pPr>
          </w:p>
        </w:tc>
        <w:tc>
          <w:tcPr>
            <w:tcW w:w="1161" w:type="dxa"/>
          </w:tcPr>
          <w:p w14:paraId="646B9C86">
            <w:pPr>
              <w:spacing w:line="240" w:lineRule="auto"/>
              <w:rPr>
                <w:color w:val="auto"/>
                <w:highlight w:val="none"/>
              </w:rPr>
            </w:pPr>
          </w:p>
        </w:tc>
        <w:tc>
          <w:tcPr>
            <w:tcW w:w="1265" w:type="dxa"/>
          </w:tcPr>
          <w:p w14:paraId="520F01EB">
            <w:pPr>
              <w:spacing w:line="240" w:lineRule="auto"/>
              <w:rPr>
                <w:color w:val="auto"/>
                <w:highlight w:val="none"/>
              </w:rPr>
            </w:pPr>
          </w:p>
        </w:tc>
        <w:tc>
          <w:tcPr>
            <w:tcW w:w="1912" w:type="dxa"/>
          </w:tcPr>
          <w:p w14:paraId="7FC85B19">
            <w:pPr>
              <w:spacing w:line="240" w:lineRule="auto"/>
              <w:rPr>
                <w:color w:val="auto"/>
                <w:highlight w:val="none"/>
              </w:rPr>
            </w:pPr>
          </w:p>
        </w:tc>
        <w:tc>
          <w:tcPr>
            <w:tcW w:w="760" w:type="dxa"/>
          </w:tcPr>
          <w:p w14:paraId="1E7E43FA">
            <w:pPr>
              <w:spacing w:line="240" w:lineRule="auto"/>
              <w:rPr>
                <w:color w:val="auto"/>
                <w:highlight w:val="none"/>
              </w:rPr>
            </w:pPr>
          </w:p>
        </w:tc>
      </w:tr>
      <w:tr w14:paraId="7C0BE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06AF176">
            <w:pPr>
              <w:spacing w:line="240" w:lineRule="auto"/>
              <w:rPr>
                <w:color w:val="auto"/>
                <w:highlight w:val="none"/>
              </w:rPr>
            </w:pPr>
          </w:p>
        </w:tc>
        <w:tc>
          <w:tcPr>
            <w:tcW w:w="1419" w:type="dxa"/>
            <w:tcBorders>
              <w:left w:val="single" w:color="000000" w:sz="4" w:space="0"/>
              <w:right w:val="single" w:color="000000" w:sz="4" w:space="0"/>
            </w:tcBorders>
          </w:tcPr>
          <w:p w14:paraId="04417181">
            <w:pPr>
              <w:spacing w:line="240" w:lineRule="auto"/>
              <w:rPr>
                <w:color w:val="auto"/>
                <w:highlight w:val="none"/>
              </w:rPr>
            </w:pPr>
          </w:p>
        </w:tc>
        <w:tc>
          <w:tcPr>
            <w:tcW w:w="1320" w:type="dxa"/>
            <w:gridSpan w:val="2"/>
            <w:tcBorders>
              <w:left w:val="single" w:color="000000" w:sz="4" w:space="0"/>
              <w:right w:val="single" w:color="000000" w:sz="4" w:space="0"/>
            </w:tcBorders>
          </w:tcPr>
          <w:p w14:paraId="15961549">
            <w:pPr>
              <w:spacing w:line="240" w:lineRule="auto"/>
              <w:rPr>
                <w:color w:val="auto"/>
                <w:highlight w:val="none"/>
              </w:rPr>
            </w:pPr>
          </w:p>
        </w:tc>
        <w:tc>
          <w:tcPr>
            <w:tcW w:w="1181" w:type="dxa"/>
            <w:gridSpan w:val="2"/>
            <w:tcBorders>
              <w:left w:val="single" w:color="000000" w:sz="4" w:space="0"/>
              <w:right w:val="single" w:color="000000" w:sz="4" w:space="0"/>
            </w:tcBorders>
          </w:tcPr>
          <w:p w14:paraId="709F35FC">
            <w:pPr>
              <w:spacing w:line="240" w:lineRule="auto"/>
              <w:rPr>
                <w:color w:val="auto"/>
                <w:highlight w:val="none"/>
              </w:rPr>
            </w:pPr>
          </w:p>
        </w:tc>
        <w:tc>
          <w:tcPr>
            <w:tcW w:w="1265" w:type="dxa"/>
            <w:tcBorders>
              <w:left w:val="single" w:color="000000" w:sz="4" w:space="0"/>
            </w:tcBorders>
          </w:tcPr>
          <w:p w14:paraId="4FAA4B83">
            <w:pPr>
              <w:spacing w:line="240" w:lineRule="auto"/>
              <w:rPr>
                <w:color w:val="auto"/>
                <w:highlight w:val="none"/>
              </w:rPr>
            </w:pPr>
          </w:p>
        </w:tc>
        <w:tc>
          <w:tcPr>
            <w:tcW w:w="1912" w:type="dxa"/>
          </w:tcPr>
          <w:p w14:paraId="74652300">
            <w:pPr>
              <w:spacing w:line="240" w:lineRule="auto"/>
              <w:rPr>
                <w:color w:val="auto"/>
                <w:highlight w:val="none"/>
              </w:rPr>
            </w:pPr>
          </w:p>
        </w:tc>
        <w:tc>
          <w:tcPr>
            <w:tcW w:w="760" w:type="dxa"/>
          </w:tcPr>
          <w:p w14:paraId="242C64D1">
            <w:pPr>
              <w:spacing w:line="240" w:lineRule="auto"/>
              <w:rPr>
                <w:color w:val="auto"/>
                <w:highlight w:val="none"/>
              </w:rPr>
            </w:pPr>
          </w:p>
        </w:tc>
      </w:tr>
      <w:tr w14:paraId="6E15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Borders>
              <w:right w:val="single" w:color="000000" w:sz="4" w:space="0"/>
            </w:tcBorders>
          </w:tcPr>
          <w:p w14:paraId="2CE314A2">
            <w:pPr>
              <w:spacing w:line="240" w:lineRule="auto"/>
              <w:rPr>
                <w:color w:val="auto"/>
                <w:highlight w:val="none"/>
              </w:rPr>
            </w:pPr>
          </w:p>
        </w:tc>
        <w:tc>
          <w:tcPr>
            <w:tcW w:w="1419" w:type="dxa"/>
            <w:tcBorders>
              <w:left w:val="single" w:color="000000" w:sz="4" w:space="0"/>
              <w:right w:val="single" w:color="000000" w:sz="4" w:space="0"/>
            </w:tcBorders>
          </w:tcPr>
          <w:p w14:paraId="2EC3F092">
            <w:pPr>
              <w:spacing w:line="240" w:lineRule="auto"/>
              <w:rPr>
                <w:color w:val="auto"/>
                <w:highlight w:val="none"/>
              </w:rPr>
            </w:pPr>
          </w:p>
        </w:tc>
        <w:tc>
          <w:tcPr>
            <w:tcW w:w="1320" w:type="dxa"/>
            <w:gridSpan w:val="2"/>
            <w:tcBorders>
              <w:left w:val="single" w:color="000000" w:sz="4" w:space="0"/>
              <w:right w:val="single" w:color="000000" w:sz="4" w:space="0"/>
            </w:tcBorders>
          </w:tcPr>
          <w:p w14:paraId="6EF0AB37">
            <w:pPr>
              <w:spacing w:line="240" w:lineRule="auto"/>
              <w:rPr>
                <w:color w:val="auto"/>
                <w:highlight w:val="none"/>
              </w:rPr>
            </w:pPr>
          </w:p>
        </w:tc>
        <w:tc>
          <w:tcPr>
            <w:tcW w:w="1181" w:type="dxa"/>
            <w:gridSpan w:val="2"/>
            <w:tcBorders>
              <w:left w:val="single" w:color="000000" w:sz="4" w:space="0"/>
              <w:right w:val="single" w:color="000000" w:sz="4" w:space="0"/>
            </w:tcBorders>
          </w:tcPr>
          <w:p w14:paraId="1D2B183A">
            <w:pPr>
              <w:spacing w:line="240" w:lineRule="auto"/>
              <w:rPr>
                <w:color w:val="auto"/>
                <w:highlight w:val="none"/>
              </w:rPr>
            </w:pPr>
          </w:p>
        </w:tc>
        <w:tc>
          <w:tcPr>
            <w:tcW w:w="1265" w:type="dxa"/>
            <w:tcBorders>
              <w:left w:val="single" w:color="000000" w:sz="4" w:space="0"/>
            </w:tcBorders>
          </w:tcPr>
          <w:p w14:paraId="765B7394">
            <w:pPr>
              <w:spacing w:line="240" w:lineRule="auto"/>
              <w:rPr>
                <w:color w:val="auto"/>
                <w:highlight w:val="none"/>
              </w:rPr>
            </w:pPr>
          </w:p>
        </w:tc>
        <w:tc>
          <w:tcPr>
            <w:tcW w:w="1912" w:type="dxa"/>
          </w:tcPr>
          <w:p w14:paraId="78447E82">
            <w:pPr>
              <w:spacing w:line="240" w:lineRule="auto"/>
              <w:rPr>
                <w:color w:val="auto"/>
                <w:highlight w:val="none"/>
              </w:rPr>
            </w:pPr>
          </w:p>
        </w:tc>
        <w:tc>
          <w:tcPr>
            <w:tcW w:w="760" w:type="dxa"/>
          </w:tcPr>
          <w:p w14:paraId="69C9F1ED">
            <w:pPr>
              <w:spacing w:line="240" w:lineRule="auto"/>
              <w:rPr>
                <w:color w:val="auto"/>
                <w:highlight w:val="none"/>
              </w:rPr>
            </w:pPr>
          </w:p>
        </w:tc>
      </w:tr>
      <w:tr w14:paraId="1692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483F2535">
            <w:pPr>
              <w:spacing w:line="240" w:lineRule="auto"/>
              <w:rPr>
                <w:color w:val="auto"/>
                <w:highlight w:val="none"/>
              </w:rPr>
            </w:pPr>
          </w:p>
        </w:tc>
        <w:tc>
          <w:tcPr>
            <w:tcW w:w="1419" w:type="dxa"/>
            <w:tcBorders>
              <w:left w:val="single" w:color="000000" w:sz="4" w:space="0"/>
              <w:right w:val="single" w:color="000000" w:sz="4" w:space="0"/>
            </w:tcBorders>
          </w:tcPr>
          <w:p w14:paraId="76C9BDC9">
            <w:pPr>
              <w:spacing w:line="240" w:lineRule="auto"/>
              <w:rPr>
                <w:color w:val="auto"/>
                <w:highlight w:val="none"/>
              </w:rPr>
            </w:pPr>
          </w:p>
        </w:tc>
        <w:tc>
          <w:tcPr>
            <w:tcW w:w="1320" w:type="dxa"/>
            <w:gridSpan w:val="2"/>
            <w:tcBorders>
              <w:left w:val="single" w:color="000000" w:sz="4" w:space="0"/>
              <w:right w:val="single" w:color="000000" w:sz="4" w:space="0"/>
            </w:tcBorders>
          </w:tcPr>
          <w:p w14:paraId="08AA0189">
            <w:pPr>
              <w:spacing w:line="240" w:lineRule="auto"/>
              <w:rPr>
                <w:color w:val="auto"/>
                <w:highlight w:val="none"/>
              </w:rPr>
            </w:pPr>
          </w:p>
        </w:tc>
        <w:tc>
          <w:tcPr>
            <w:tcW w:w="1181" w:type="dxa"/>
            <w:gridSpan w:val="2"/>
            <w:tcBorders>
              <w:left w:val="single" w:color="000000" w:sz="4" w:space="0"/>
              <w:right w:val="single" w:color="000000" w:sz="4" w:space="0"/>
            </w:tcBorders>
          </w:tcPr>
          <w:p w14:paraId="08C27941">
            <w:pPr>
              <w:spacing w:line="240" w:lineRule="auto"/>
              <w:rPr>
                <w:color w:val="auto"/>
                <w:highlight w:val="none"/>
              </w:rPr>
            </w:pPr>
          </w:p>
        </w:tc>
        <w:tc>
          <w:tcPr>
            <w:tcW w:w="1265" w:type="dxa"/>
            <w:tcBorders>
              <w:left w:val="single" w:color="000000" w:sz="4" w:space="0"/>
            </w:tcBorders>
          </w:tcPr>
          <w:p w14:paraId="78F69D91">
            <w:pPr>
              <w:spacing w:line="240" w:lineRule="auto"/>
              <w:rPr>
                <w:color w:val="auto"/>
                <w:highlight w:val="none"/>
              </w:rPr>
            </w:pPr>
          </w:p>
        </w:tc>
        <w:tc>
          <w:tcPr>
            <w:tcW w:w="1912" w:type="dxa"/>
          </w:tcPr>
          <w:p w14:paraId="4ABA2605">
            <w:pPr>
              <w:spacing w:line="240" w:lineRule="auto"/>
              <w:rPr>
                <w:color w:val="auto"/>
                <w:highlight w:val="none"/>
              </w:rPr>
            </w:pPr>
          </w:p>
        </w:tc>
        <w:tc>
          <w:tcPr>
            <w:tcW w:w="760" w:type="dxa"/>
          </w:tcPr>
          <w:p w14:paraId="3B41211D">
            <w:pPr>
              <w:spacing w:line="240" w:lineRule="auto"/>
              <w:rPr>
                <w:color w:val="auto"/>
                <w:highlight w:val="none"/>
              </w:rPr>
            </w:pPr>
          </w:p>
        </w:tc>
      </w:tr>
      <w:tr w14:paraId="743CE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724" w:type="dxa"/>
            <w:tcBorders>
              <w:right w:val="single" w:color="000000" w:sz="4" w:space="0"/>
            </w:tcBorders>
          </w:tcPr>
          <w:p w14:paraId="40DBBB39">
            <w:pPr>
              <w:spacing w:line="240" w:lineRule="auto"/>
              <w:rPr>
                <w:color w:val="auto"/>
                <w:highlight w:val="none"/>
              </w:rPr>
            </w:pPr>
          </w:p>
        </w:tc>
        <w:tc>
          <w:tcPr>
            <w:tcW w:w="1419" w:type="dxa"/>
            <w:tcBorders>
              <w:left w:val="single" w:color="000000" w:sz="4" w:space="0"/>
              <w:right w:val="single" w:color="000000" w:sz="4" w:space="0"/>
            </w:tcBorders>
          </w:tcPr>
          <w:p w14:paraId="2031FD8A">
            <w:pPr>
              <w:spacing w:line="240" w:lineRule="auto"/>
              <w:rPr>
                <w:color w:val="auto"/>
                <w:highlight w:val="none"/>
              </w:rPr>
            </w:pPr>
          </w:p>
        </w:tc>
        <w:tc>
          <w:tcPr>
            <w:tcW w:w="1320" w:type="dxa"/>
            <w:gridSpan w:val="2"/>
            <w:tcBorders>
              <w:left w:val="single" w:color="000000" w:sz="4" w:space="0"/>
              <w:right w:val="single" w:color="000000" w:sz="4" w:space="0"/>
            </w:tcBorders>
          </w:tcPr>
          <w:p w14:paraId="5AD52F5A">
            <w:pPr>
              <w:spacing w:line="240" w:lineRule="auto"/>
              <w:rPr>
                <w:color w:val="auto"/>
                <w:highlight w:val="none"/>
              </w:rPr>
            </w:pPr>
          </w:p>
        </w:tc>
        <w:tc>
          <w:tcPr>
            <w:tcW w:w="1181" w:type="dxa"/>
            <w:gridSpan w:val="2"/>
            <w:tcBorders>
              <w:left w:val="single" w:color="000000" w:sz="4" w:space="0"/>
              <w:right w:val="single" w:color="000000" w:sz="4" w:space="0"/>
            </w:tcBorders>
          </w:tcPr>
          <w:p w14:paraId="0025DBDF">
            <w:pPr>
              <w:spacing w:line="240" w:lineRule="auto"/>
              <w:rPr>
                <w:color w:val="auto"/>
                <w:highlight w:val="none"/>
              </w:rPr>
            </w:pPr>
          </w:p>
        </w:tc>
        <w:tc>
          <w:tcPr>
            <w:tcW w:w="1265" w:type="dxa"/>
            <w:tcBorders>
              <w:left w:val="single" w:color="000000" w:sz="4" w:space="0"/>
            </w:tcBorders>
          </w:tcPr>
          <w:p w14:paraId="164891FA">
            <w:pPr>
              <w:spacing w:line="240" w:lineRule="auto"/>
              <w:rPr>
                <w:color w:val="auto"/>
                <w:highlight w:val="none"/>
              </w:rPr>
            </w:pPr>
          </w:p>
        </w:tc>
        <w:tc>
          <w:tcPr>
            <w:tcW w:w="1912" w:type="dxa"/>
          </w:tcPr>
          <w:p w14:paraId="5A41C74A">
            <w:pPr>
              <w:spacing w:line="240" w:lineRule="auto"/>
              <w:rPr>
                <w:color w:val="auto"/>
                <w:highlight w:val="none"/>
              </w:rPr>
            </w:pPr>
          </w:p>
        </w:tc>
        <w:tc>
          <w:tcPr>
            <w:tcW w:w="760" w:type="dxa"/>
          </w:tcPr>
          <w:p w14:paraId="487C883A">
            <w:pPr>
              <w:spacing w:line="240" w:lineRule="auto"/>
              <w:rPr>
                <w:color w:val="auto"/>
                <w:highlight w:val="none"/>
              </w:rPr>
            </w:pPr>
          </w:p>
        </w:tc>
      </w:tr>
      <w:tr w14:paraId="79B95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73A70A4A">
            <w:pPr>
              <w:spacing w:line="240" w:lineRule="auto"/>
              <w:rPr>
                <w:color w:val="auto"/>
                <w:highlight w:val="none"/>
              </w:rPr>
            </w:pPr>
          </w:p>
        </w:tc>
        <w:tc>
          <w:tcPr>
            <w:tcW w:w="1419" w:type="dxa"/>
            <w:tcBorders>
              <w:left w:val="single" w:color="000000" w:sz="4" w:space="0"/>
              <w:right w:val="single" w:color="000000" w:sz="4" w:space="0"/>
            </w:tcBorders>
          </w:tcPr>
          <w:p w14:paraId="7EAAC21F">
            <w:pPr>
              <w:spacing w:line="240" w:lineRule="auto"/>
              <w:rPr>
                <w:color w:val="auto"/>
                <w:highlight w:val="none"/>
              </w:rPr>
            </w:pPr>
          </w:p>
        </w:tc>
        <w:tc>
          <w:tcPr>
            <w:tcW w:w="1320" w:type="dxa"/>
            <w:gridSpan w:val="2"/>
            <w:tcBorders>
              <w:left w:val="single" w:color="000000" w:sz="4" w:space="0"/>
              <w:right w:val="single" w:color="000000" w:sz="4" w:space="0"/>
            </w:tcBorders>
          </w:tcPr>
          <w:p w14:paraId="5288C370">
            <w:pPr>
              <w:spacing w:line="240" w:lineRule="auto"/>
              <w:rPr>
                <w:color w:val="auto"/>
                <w:highlight w:val="none"/>
              </w:rPr>
            </w:pPr>
          </w:p>
        </w:tc>
        <w:tc>
          <w:tcPr>
            <w:tcW w:w="1181" w:type="dxa"/>
            <w:gridSpan w:val="2"/>
            <w:tcBorders>
              <w:left w:val="single" w:color="000000" w:sz="4" w:space="0"/>
              <w:right w:val="single" w:color="000000" w:sz="4" w:space="0"/>
            </w:tcBorders>
          </w:tcPr>
          <w:p w14:paraId="294F3C06">
            <w:pPr>
              <w:spacing w:line="240" w:lineRule="auto"/>
              <w:rPr>
                <w:color w:val="auto"/>
                <w:highlight w:val="none"/>
              </w:rPr>
            </w:pPr>
          </w:p>
        </w:tc>
        <w:tc>
          <w:tcPr>
            <w:tcW w:w="1265" w:type="dxa"/>
            <w:tcBorders>
              <w:left w:val="single" w:color="000000" w:sz="4" w:space="0"/>
            </w:tcBorders>
          </w:tcPr>
          <w:p w14:paraId="6FF695F0">
            <w:pPr>
              <w:spacing w:line="240" w:lineRule="auto"/>
              <w:rPr>
                <w:color w:val="auto"/>
                <w:highlight w:val="none"/>
              </w:rPr>
            </w:pPr>
          </w:p>
        </w:tc>
        <w:tc>
          <w:tcPr>
            <w:tcW w:w="1912" w:type="dxa"/>
          </w:tcPr>
          <w:p w14:paraId="1F44E7CA">
            <w:pPr>
              <w:spacing w:line="240" w:lineRule="auto"/>
              <w:rPr>
                <w:color w:val="auto"/>
                <w:highlight w:val="none"/>
              </w:rPr>
            </w:pPr>
          </w:p>
        </w:tc>
        <w:tc>
          <w:tcPr>
            <w:tcW w:w="760" w:type="dxa"/>
          </w:tcPr>
          <w:p w14:paraId="68FD09B7">
            <w:pPr>
              <w:spacing w:line="240" w:lineRule="auto"/>
              <w:rPr>
                <w:color w:val="auto"/>
                <w:highlight w:val="none"/>
              </w:rPr>
            </w:pPr>
          </w:p>
        </w:tc>
      </w:tr>
      <w:tr w14:paraId="67D3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7AF79074">
            <w:pPr>
              <w:spacing w:line="240" w:lineRule="auto"/>
              <w:rPr>
                <w:color w:val="auto"/>
                <w:highlight w:val="none"/>
              </w:rPr>
            </w:pPr>
          </w:p>
        </w:tc>
        <w:tc>
          <w:tcPr>
            <w:tcW w:w="1419" w:type="dxa"/>
            <w:tcBorders>
              <w:left w:val="single" w:color="000000" w:sz="4" w:space="0"/>
              <w:right w:val="single" w:color="000000" w:sz="4" w:space="0"/>
            </w:tcBorders>
          </w:tcPr>
          <w:p w14:paraId="43D7339B">
            <w:pPr>
              <w:spacing w:line="240" w:lineRule="auto"/>
              <w:rPr>
                <w:color w:val="auto"/>
                <w:highlight w:val="none"/>
              </w:rPr>
            </w:pPr>
          </w:p>
        </w:tc>
        <w:tc>
          <w:tcPr>
            <w:tcW w:w="1320" w:type="dxa"/>
            <w:gridSpan w:val="2"/>
            <w:tcBorders>
              <w:left w:val="single" w:color="000000" w:sz="4" w:space="0"/>
              <w:right w:val="single" w:color="000000" w:sz="4" w:space="0"/>
            </w:tcBorders>
          </w:tcPr>
          <w:p w14:paraId="5D0B6A09">
            <w:pPr>
              <w:spacing w:line="240" w:lineRule="auto"/>
              <w:rPr>
                <w:color w:val="auto"/>
                <w:highlight w:val="none"/>
              </w:rPr>
            </w:pPr>
          </w:p>
        </w:tc>
        <w:tc>
          <w:tcPr>
            <w:tcW w:w="1181" w:type="dxa"/>
            <w:gridSpan w:val="2"/>
            <w:tcBorders>
              <w:left w:val="single" w:color="000000" w:sz="4" w:space="0"/>
              <w:right w:val="single" w:color="000000" w:sz="4" w:space="0"/>
            </w:tcBorders>
          </w:tcPr>
          <w:p w14:paraId="7976B83B">
            <w:pPr>
              <w:spacing w:line="240" w:lineRule="auto"/>
              <w:rPr>
                <w:color w:val="auto"/>
                <w:highlight w:val="none"/>
              </w:rPr>
            </w:pPr>
          </w:p>
        </w:tc>
        <w:tc>
          <w:tcPr>
            <w:tcW w:w="1265" w:type="dxa"/>
            <w:tcBorders>
              <w:left w:val="single" w:color="000000" w:sz="4" w:space="0"/>
            </w:tcBorders>
          </w:tcPr>
          <w:p w14:paraId="2075698E">
            <w:pPr>
              <w:spacing w:line="240" w:lineRule="auto"/>
              <w:rPr>
                <w:color w:val="auto"/>
                <w:highlight w:val="none"/>
              </w:rPr>
            </w:pPr>
          </w:p>
        </w:tc>
        <w:tc>
          <w:tcPr>
            <w:tcW w:w="1912" w:type="dxa"/>
          </w:tcPr>
          <w:p w14:paraId="2E5AB76D">
            <w:pPr>
              <w:spacing w:line="240" w:lineRule="auto"/>
              <w:rPr>
                <w:color w:val="auto"/>
                <w:highlight w:val="none"/>
              </w:rPr>
            </w:pPr>
          </w:p>
        </w:tc>
        <w:tc>
          <w:tcPr>
            <w:tcW w:w="760" w:type="dxa"/>
          </w:tcPr>
          <w:p w14:paraId="2991C161">
            <w:pPr>
              <w:spacing w:line="240" w:lineRule="auto"/>
              <w:rPr>
                <w:color w:val="auto"/>
                <w:highlight w:val="none"/>
              </w:rPr>
            </w:pPr>
          </w:p>
        </w:tc>
      </w:tr>
      <w:tr w14:paraId="506BE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724" w:type="dxa"/>
            <w:tcBorders>
              <w:right w:val="single" w:color="000000" w:sz="4" w:space="0"/>
            </w:tcBorders>
          </w:tcPr>
          <w:p w14:paraId="00069DF8">
            <w:pPr>
              <w:spacing w:line="240" w:lineRule="auto"/>
              <w:rPr>
                <w:color w:val="auto"/>
                <w:highlight w:val="none"/>
              </w:rPr>
            </w:pPr>
          </w:p>
        </w:tc>
        <w:tc>
          <w:tcPr>
            <w:tcW w:w="1419" w:type="dxa"/>
            <w:tcBorders>
              <w:left w:val="single" w:color="000000" w:sz="4" w:space="0"/>
              <w:right w:val="single" w:color="000000" w:sz="4" w:space="0"/>
            </w:tcBorders>
          </w:tcPr>
          <w:p w14:paraId="492B2F4E">
            <w:pPr>
              <w:spacing w:line="240" w:lineRule="auto"/>
              <w:rPr>
                <w:color w:val="auto"/>
                <w:highlight w:val="none"/>
              </w:rPr>
            </w:pPr>
          </w:p>
        </w:tc>
        <w:tc>
          <w:tcPr>
            <w:tcW w:w="1320" w:type="dxa"/>
            <w:gridSpan w:val="2"/>
            <w:tcBorders>
              <w:left w:val="single" w:color="000000" w:sz="4" w:space="0"/>
              <w:right w:val="single" w:color="000000" w:sz="4" w:space="0"/>
            </w:tcBorders>
          </w:tcPr>
          <w:p w14:paraId="416EFC50">
            <w:pPr>
              <w:spacing w:line="240" w:lineRule="auto"/>
              <w:rPr>
                <w:color w:val="auto"/>
                <w:highlight w:val="none"/>
              </w:rPr>
            </w:pPr>
          </w:p>
        </w:tc>
        <w:tc>
          <w:tcPr>
            <w:tcW w:w="1181" w:type="dxa"/>
            <w:gridSpan w:val="2"/>
            <w:tcBorders>
              <w:left w:val="single" w:color="000000" w:sz="4" w:space="0"/>
              <w:right w:val="single" w:color="000000" w:sz="4" w:space="0"/>
            </w:tcBorders>
          </w:tcPr>
          <w:p w14:paraId="4110D7AF">
            <w:pPr>
              <w:spacing w:line="240" w:lineRule="auto"/>
              <w:rPr>
                <w:color w:val="auto"/>
                <w:highlight w:val="none"/>
              </w:rPr>
            </w:pPr>
          </w:p>
        </w:tc>
        <w:tc>
          <w:tcPr>
            <w:tcW w:w="1265" w:type="dxa"/>
            <w:tcBorders>
              <w:left w:val="single" w:color="000000" w:sz="4" w:space="0"/>
            </w:tcBorders>
          </w:tcPr>
          <w:p w14:paraId="6E488606">
            <w:pPr>
              <w:spacing w:line="240" w:lineRule="auto"/>
              <w:rPr>
                <w:color w:val="auto"/>
                <w:highlight w:val="none"/>
              </w:rPr>
            </w:pPr>
          </w:p>
        </w:tc>
        <w:tc>
          <w:tcPr>
            <w:tcW w:w="1912" w:type="dxa"/>
          </w:tcPr>
          <w:p w14:paraId="6D1EA2E0">
            <w:pPr>
              <w:spacing w:line="240" w:lineRule="auto"/>
              <w:rPr>
                <w:color w:val="auto"/>
                <w:highlight w:val="none"/>
              </w:rPr>
            </w:pPr>
          </w:p>
        </w:tc>
        <w:tc>
          <w:tcPr>
            <w:tcW w:w="760" w:type="dxa"/>
          </w:tcPr>
          <w:p w14:paraId="0F2DDFE8">
            <w:pPr>
              <w:spacing w:line="240" w:lineRule="auto"/>
              <w:rPr>
                <w:color w:val="auto"/>
                <w:highlight w:val="none"/>
              </w:rPr>
            </w:pPr>
          </w:p>
        </w:tc>
      </w:tr>
      <w:tr w14:paraId="1D63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24" w:type="dxa"/>
            <w:tcBorders>
              <w:right w:val="single" w:color="000000" w:sz="4" w:space="0"/>
            </w:tcBorders>
          </w:tcPr>
          <w:p w14:paraId="1AC64D0B">
            <w:pPr>
              <w:spacing w:line="240" w:lineRule="auto"/>
              <w:rPr>
                <w:color w:val="auto"/>
                <w:highlight w:val="none"/>
              </w:rPr>
            </w:pPr>
          </w:p>
        </w:tc>
        <w:tc>
          <w:tcPr>
            <w:tcW w:w="1419" w:type="dxa"/>
            <w:tcBorders>
              <w:left w:val="single" w:color="000000" w:sz="4" w:space="0"/>
              <w:right w:val="single" w:color="000000" w:sz="4" w:space="0"/>
            </w:tcBorders>
          </w:tcPr>
          <w:p w14:paraId="3C3C3A36">
            <w:pPr>
              <w:spacing w:line="240" w:lineRule="auto"/>
              <w:rPr>
                <w:color w:val="auto"/>
                <w:highlight w:val="none"/>
              </w:rPr>
            </w:pPr>
          </w:p>
        </w:tc>
        <w:tc>
          <w:tcPr>
            <w:tcW w:w="1320" w:type="dxa"/>
            <w:gridSpan w:val="2"/>
            <w:tcBorders>
              <w:left w:val="single" w:color="000000" w:sz="4" w:space="0"/>
              <w:right w:val="single" w:color="000000" w:sz="4" w:space="0"/>
            </w:tcBorders>
          </w:tcPr>
          <w:p w14:paraId="65604DAB">
            <w:pPr>
              <w:spacing w:line="240" w:lineRule="auto"/>
              <w:rPr>
                <w:color w:val="auto"/>
                <w:highlight w:val="none"/>
              </w:rPr>
            </w:pPr>
          </w:p>
        </w:tc>
        <w:tc>
          <w:tcPr>
            <w:tcW w:w="1181" w:type="dxa"/>
            <w:gridSpan w:val="2"/>
            <w:tcBorders>
              <w:left w:val="single" w:color="000000" w:sz="4" w:space="0"/>
              <w:right w:val="single" w:color="000000" w:sz="4" w:space="0"/>
            </w:tcBorders>
          </w:tcPr>
          <w:p w14:paraId="6734A3F2">
            <w:pPr>
              <w:spacing w:line="240" w:lineRule="auto"/>
              <w:rPr>
                <w:color w:val="auto"/>
                <w:highlight w:val="none"/>
              </w:rPr>
            </w:pPr>
          </w:p>
        </w:tc>
        <w:tc>
          <w:tcPr>
            <w:tcW w:w="1265" w:type="dxa"/>
            <w:tcBorders>
              <w:left w:val="single" w:color="000000" w:sz="4" w:space="0"/>
            </w:tcBorders>
          </w:tcPr>
          <w:p w14:paraId="7FA815CF">
            <w:pPr>
              <w:spacing w:line="240" w:lineRule="auto"/>
              <w:rPr>
                <w:color w:val="auto"/>
                <w:highlight w:val="none"/>
              </w:rPr>
            </w:pPr>
          </w:p>
        </w:tc>
        <w:tc>
          <w:tcPr>
            <w:tcW w:w="1912" w:type="dxa"/>
          </w:tcPr>
          <w:p w14:paraId="131BA348">
            <w:pPr>
              <w:spacing w:line="240" w:lineRule="auto"/>
              <w:rPr>
                <w:color w:val="auto"/>
                <w:highlight w:val="none"/>
              </w:rPr>
            </w:pPr>
          </w:p>
        </w:tc>
        <w:tc>
          <w:tcPr>
            <w:tcW w:w="760" w:type="dxa"/>
          </w:tcPr>
          <w:p w14:paraId="01336159">
            <w:pPr>
              <w:spacing w:line="240" w:lineRule="auto"/>
              <w:rPr>
                <w:color w:val="auto"/>
                <w:highlight w:val="none"/>
              </w:rPr>
            </w:pPr>
          </w:p>
        </w:tc>
      </w:tr>
    </w:tbl>
    <w:p w14:paraId="3241E562">
      <w:pPr>
        <w:spacing w:line="240" w:lineRule="auto"/>
        <w:rPr>
          <w:color w:val="auto"/>
          <w:highlight w:val="none"/>
        </w:rPr>
      </w:pPr>
    </w:p>
    <w:p w14:paraId="26ACF325">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注：以上业绩需提供有关书面证明材料。</w:t>
      </w:r>
    </w:p>
    <w:p w14:paraId="5C7D3A7B">
      <w:pPr>
        <w:spacing w:line="240" w:lineRule="auto"/>
        <w:rPr>
          <w:color w:val="auto"/>
          <w:sz w:val="24"/>
          <w:szCs w:val="24"/>
          <w:highlight w:val="none"/>
        </w:rPr>
      </w:pPr>
    </w:p>
    <w:p w14:paraId="7A8C7888">
      <w:pPr>
        <w:spacing w:line="240" w:lineRule="auto"/>
        <w:rPr>
          <w:color w:val="auto"/>
          <w:sz w:val="24"/>
          <w:szCs w:val="24"/>
          <w:highlight w:val="none"/>
        </w:rPr>
      </w:pPr>
    </w:p>
    <w:p w14:paraId="6B2AF0C9">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11F937F">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4EEC0117">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8A35CC">
      <w:pPr>
        <w:spacing w:line="240" w:lineRule="auto"/>
        <w:rPr>
          <w:color w:val="auto"/>
          <w:highlight w:val="none"/>
        </w:rPr>
        <w:sectPr>
          <w:headerReference r:id="rId29" w:type="default"/>
          <w:footerReference r:id="rId30" w:type="default"/>
          <w:type w:val="continuous"/>
          <w:pgSz w:w="11905" w:h="16838"/>
          <w:pgMar w:top="1417" w:right="1417" w:bottom="1417" w:left="1417" w:header="0" w:footer="1134" w:gutter="0"/>
          <w:cols w:space="0" w:num="1"/>
        </w:sectPr>
      </w:pPr>
    </w:p>
    <w:p w14:paraId="0AA7D422">
      <w:pPr>
        <w:spacing w:before="3" w:line="240" w:lineRule="auto"/>
        <w:ind w:right="13"/>
        <w:jc w:val="center"/>
        <w:outlineLvl w:val="9"/>
        <w:rPr>
          <w:rFonts w:ascii="宋体" w:hAnsi="宋体" w:eastAsia="宋体" w:cs="宋体"/>
          <w:b/>
          <w:bCs/>
          <w:color w:val="auto"/>
          <w:sz w:val="32"/>
          <w:szCs w:val="32"/>
          <w:highlight w:val="none"/>
        </w:rPr>
      </w:pPr>
      <w:bookmarkStart w:id="143" w:name="_Toc5419"/>
      <w:bookmarkStart w:id="144" w:name="_Toc18877"/>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、技术</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应答表</w:t>
      </w:r>
      <w:bookmarkEnd w:id="143"/>
      <w:bookmarkEnd w:id="144"/>
    </w:p>
    <w:p w14:paraId="5BE0DC7D">
      <w:pPr>
        <w:spacing w:line="240" w:lineRule="auto"/>
        <w:rPr>
          <w:color w:val="auto"/>
          <w:highlight w:val="none"/>
        </w:rPr>
      </w:pPr>
    </w:p>
    <w:tbl>
      <w:tblPr>
        <w:tblStyle w:val="23"/>
        <w:tblpPr w:leftFromText="180" w:rightFromText="180" w:vertAnchor="text" w:horzAnchor="page" w:tblpX="1411" w:tblpY="258"/>
        <w:tblOverlap w:val="never"/>
        <w:tblW w:w="87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503"/>
        <w:gridCol w:w="3480"/>
      </w:tblGrid>
      <w:tr w14:paraId="78107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vAlign w:val="center"/>
          </w:tcPr>
          <w:p w14:paraId="62EA32E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vAlign w:val="center"/>
          </w:tcPr>
          <w:p w14:paraId="6BFA91FC">
            <w:pPr>
              <w:spacing w:line="240" w:lineRule="auto"/>
              <w:ind w:right="13" w:rightChars="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503" w:type="dxa"/>
            <w:vAlign w:val="center"/>
          </w:tcPr>
          <w:p w14:paraId="37C411A5">
            <w:pPr>
              <w:spacing w:line="240" w:lineRule="auto"/>
              <w:ind w:right="13" w:rightChars="0"/>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投标应答</w:t>
            </w:r>
          </w:p>
        </w:tc>
        <w:tc>
          <w:tcPr>
            <w:tcW w:w="3480" w:type="dxa"/>
            <w:vAlign w:val="center"/>
          </w:tcPr>
          <w:p w14:paraId="2F9058AE">
            <w:pPr>
              <w:widowControl/>
              <w:jc w:val="center"/>
              <w:rPr>
                <w:rFonts w:hint="eastAsia" w:hAnsi="宋体" w:cs="宋体"/>
                <w:sz w:val="24"/>
                <w:highlight w:val="none"/>
              </w:rPr>
            </w:pPr>
            <w:r>
              <w:rPr>
                <w:rFonts w:hint="eastAsia" w:hAnsi="宋体" w:cs="宋体"/>
                <w:sz w:val="24"/>
                <w:highlight w:val="none"/>
              </w:rPr>
              <w:t>偏离说明</w:t>
            </w:r>
          </w:p>
          <w:p w14:paraId="0B6FA808">
            <w:pPr>
              <w:spacing w:line="240" w:lineRule="auto"/>
              <w:ind w:right="13" w:rightChars="0"/>
              <w:jc w:val="center"/>
              <w:rPr>
                <w:rFonts w:ascii="宋体" w:hAnsi="宋体" w:eastAsia="宋体" w:cs="宋体"/>
                <w:color w:val="auto"/>
                <w:spacing w:val="6"/>
                <w:sz w:val="24"/>
                <w:szCs w:val="24"/>
                <w:highlight w:val="none"/>
              </w:rPr>
            </w:pPr>
            <w:r>
              <w:rPr>
                <w:rFonts w:hint="eastAsia" w:hAnsi="宋体" w:cs="宋体"/>
                <w:sz w:val="24"/>
                <w:highlight w:val="none"/>
              </w:rPr>
              <w:t>（无偏离／正偏离／负偏离）</w:t>
            </w:r>
          </w:p>
        </w:tc>
      </w:tr>
      <w:tr w14:paraId="1EF2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46C6DAFF">
            <w:pPr>
              <w:spacing w:line="240" w:lineRule="auto"/>
              <w:rPr>
                <w:color w:val="auto"/>
                <w:sz w:val="24"/>
                <w:szCs w:val="24"/>
                <w:highlight w:val="none"/>
              </w:rPr>
            </w:pPr>
          </w:p>
        </w:tc>
        <w:tc>
          <w:tcPr>
            <w:tcW w:w="2049" w:type="dxa"/>
          </w:tcPr>
          <w:p w14:paraId="62331D7B">
            <w:pPr>
              <w:spacing w:line="240" w:lineRule="auto"/>
              <w:rPr>
                <w:color w:val="auto"/>
                <w:sz w:val="24"/>
                <w:szCs w:val="24"/>
                <w:highlight w:val="none"/>
              </w:rPr>
            </w:pPr>
          </w:p>
        </w:tc>
        <w:tc>
          <w:tcPr>
            <w:tcW w:w="2503" w:type="dxa"/>
          </w:tcPr>
          <w:p w14:paraId="69EA4898">
            <w:pPr>
              <w:spacing w:line="240" w:lineRule="auto"/>
              <w:rPr>
                <w:color w:val="auto"/>
                <w:sz w:val="24"/>
                <w:szCs w:val="24"/>
                <w:highlight w:val="none"/>
              </w:rPr>
            </w:pPr>
          </w:p>
        </w:tc>
        <w:tc>
          <w:tcPr>
            <w:tcW w:w="3480" w:type="dxa"/>
          </w:tcPr>
          <w:p w14:paraId="2D963075">
            <w:pPr>
              <w:spacing w:line="240" w:lineRule="auto"/>
              <w:rPr>
                <w:color w:val="auto"/>
                <w:sz w:val="24"/>
                <w:szCs w:val="24"/>
                <w:highlight w:val="none"/>
              </w:rPr>
            </w:pPr>
          </w:p>
        </w:tc>
      </w:tr>
      <w:tr w14:paraId="69D23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FB652AF">
            <w:pPr>
              <w:spacing w:line="240" w:lineRule="auto"/>
              <w:rPr>
                <w:color w:val="auto"/>
                <w:sz w:val="24"/>
                <w:szCs w:val="24"/>
                <w:highlight w:val="none"/>
              </w:rPr>
            </w:pPr>
          </w:p>
        </w:tc>
        <w:tc>
          <w:tcPr>
            <w:tcW w:w="2049" w:type="dxa"/>
          </w:tcPr>
          <w:p w14:paraId="64FA8C11">
            <w:pPr>
              <w:spacing w:line="240" w:lineRule="auto"/>
              <w:rPr>
                <w:color w:val="auto"/>
                <w:sz w:val="24"/>
                <w:szCs w:val="24"/>
                <w:highlight w:val="none"/>
              </w:rPr>
            </w:pPr>
          </w:p>
        </w:tc>
        <w:tc>
          <w:tcPr>
            <w:tcW w:w="2503" w:type="dxa"/>
          </w:tcPr>
          <w:p w14:paraId="179FEEBD">
            <w:pPr>
              <w:spacing w:line="240" w:lineRule="auto"/>
              <w:rPr>
                <w:color w:val="auto"/>
                <w:sz w:val="24"/>
                <w:szCs w:val="24"/>
                <w:highlight w:val="none"/>
              </w:rPr>
            </w:pPr>
          </w:p>
        </w:tc>
        <w:tc>
          <w:tcPr>
            <w:tcW w:w="3480" w:type="dxa"/>
          </w:tcPr>
          <w:p w14:paraId="2D11AB7C">
            <w:pPr>
              <w:spacing w:line="240" w:lineRule="auto"/>
              <w:rPr>
                <w:color w:val="auto"/>
                <w:sz w:val="24"/>
                <w:szCs w:val="24"/>
                <w:highlight w:val="none"/>
              </w:rPr>
            </w:pPr>
          </w:p>
        </w:tc>
      </w:tr>
      <w:tr w14:paraId="0DB74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30" w:type="dxa"/>
          </w:tcPr>
          <w:p w14:paraId="01DA5DE0">
            <w:pPr>
              <w:spacing w:line="240" w:lineRule="auto"/>
              <w:rPr>
                <w:color w:val="auto"/>
                <w:sz w:val="24"/>
                <w:szCs w:val="24"/>
                <w:highlight w:val="none"/>
              </w:rPr>
            </w:pPr>
          </w:p>
        </w:tc>
        <w:tc>
          <w:tcPr>
            <w:tcW w:w="2049" w:type="dxa"/>
          </w:tcPr>
          <w:p w14:paraId="4D20CDBD">
            <w:pPr>
              <w:spacing w:line="240" w:lineRule="auto"/>
              <w:rPr>
                <w:color w:val="auto"/>
                <w:sz w:val="24"/>
                <w:szCs w:val="24"/>
                <w:highlight w:val="none"/>
              </w:rPr>
            </w:pPr>
          </w:p>
        </w:tc>
        <w:tc>
          <w:tcPr>
            <w:tcW w:w="2503" w:type="dxa"/>
          </w:tcPr>
          <w:p w14:paraId="38385F49">
            <w:pPr>
              <w:spacing w:line="240" w:lineRule="auto"/>
              <w:rPr>
                <w:color w:val="auto"/>
                <w:sz w:val="24"/>
                <w:szCs w:val="24"/>
                <w:highlight w:val="none"/>
              </w:rPr>
            </w:pPr>
          </w:p>
        </w:tc>
        <w:tc>
          <w:tcPr>
            <w:tcW w:w="3480" w:type="dxa"/>
          </w:tcPr>
          <w:p w14:paraId="7E14E8F4">
            <w:pPr>
              <w:spacing w:line="240" w:lineRule="auto"/>
              <w:rPr>
                <w:color w:val="auto"/>
                <w:sz w:val="24"/>
                <w:szCs w:val="24"/>
                <w:highlight w:val="none"/>
              </w:rPr>
            </w:pPr>
          </w:p>
        </w:tc>
      </w:tr>
      <w:tr w14:paraId="0717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AD6E418">
            <w:pPr>
              <w:spacing w:line="240" w:lineRule="auto"/>
              <w:rPr>
                <w:color w:val="auto"/>
                <w:sz w:val="24"/>
                <w:szCs w:val="24"/>
                <w:highlight w:val="none"/>
              </w:rPr>
            </w:pPr>
          </w:p>
        </w:tc>
        <w:tc>
          <w:tcPr>
            <w:tcW w:w="2049" w:type="dxa"/>
          </w:tcPr>
          <w:p w14:paraId="7FD27870">
            <w:pPr>
              <w:spacing w:line="240" w:lineRule="auto"/>
              <w:rPr>
                <w:color w:val="auto"/>
                <w:sz w:val="24"/>
                <w:szCs w:val="24"/>
                <w:highlight w:val="none"/>
              </w:rPr>
            </w:pPr>
          </w:p>
        </w:tc>
        <w:tc>
          <w:tcPr>
            <w:tcW w:w="2503" w:type="dxa"/>
          </w:tcPr>
          <w:p w14:paraId="6887AE1F">
            <w:pPr>
              <w:spacing w:line="240" w:lineRule="auto"/>
              <w:rPr>
                <w:color w:val="auto"/>
                <w:sz w:val="24"/>
                <w:szCs w:val="24"/>
                <w:highlight w:val="none"/>
              </w:rPr>
            </w:pPr>
          </w:p>
        </w:tc>
        <w:tc>
          <w:tcPr>
            <w:tcW w:w="3480" w:type="dxa"/>
          </w:tcPr>
          <w:p w14:paraId="67BFA9EA">
            <w:pPr>
              <w:spacing w:line="240" w:lineRule="auto"/>
              <w:rPr>
                <w:color w:val="auto"/>
                <w:sz w:val="24"/>
                <w:szCs w:val="24"/>
                <w:highlight w:val="none"/>
              </w:rPr>
            </w:pPr>
          </w:p>
        </w:tc>
      </w:tr>
      <w:tr w14:paraId="2240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3A92AD88">
            <w:pPr>
              <w:spacing w:line="240" w:lineRule="auto"/>
              <w:rPr>
                <w:color w:val="auto"/>
                <w:sz w:val="24"/>
                <w:szCs w:val="24"/>
                <w:highlight w:val="none"/>
              </w:rPr>
            </w:pPr>
          </w:p>
        </w:tc>
        <w:tc>
          <w:tcPr>
            <w:tcW w:w="2049" w:type="dxa"/>
          </w:tcPr>
          <w:p w14:paraId="42B597DF">
            <w:pPr>
              <w:spacing w:line="240" w:lineRule="auto"/>
              <w:rPr>
                <w:color w:val="auto"/>
                <w:sz w:val="24"/>
                <w:szCs w:val="24"/>
                <w:highlight w:val="none"/>
              </w:rPr>
            </w:pPr>
          </w:p>
        </w:tc>
        <w:tc>
          <w:tcPr>
            <w:tcW w:w="2503" w:type="dxa"/>
          </w:tcPr>
          <w:p w14:paraId="3785EAD8">
            <w:pPr>
              <w:spacing w:line="240" w:lineRule="auto"/>
              <w:rPr>
                <w:color w:val="auto"/>
                <w:sz w:val="24"/>
                <w:szCs w:val="24"/>
                <w:highlight w:val="none"/>
              </w:rPr>
            </w:pPr>
          </w:p>
        </w:tc>
        <w:tc>
          <w:tcPr>
            <w:tcW w:w="3480" w:type="dxa"/>
          </w:tcPr>
          <w:p w14:paraId="752A673A">
            <w:pPr>
              <w:spacing w:line="240" w:lineRule="auto"/>
              <w:rPr>
                <w:color w:val="auto"/>
                <w:sz w:val="24"/>
                <w:szCs w:val="24"/>
                <w:highlight w:val="none"/>
              </w:rPr>
            </w:pPr>
          </w:p>
        </w:tc>
      </w:tr>
      <w:tr w14:paraId="76454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166B1836">
            <w:pPr>
              <w:spacing w:line="240" w:lineRule="auto"/>
              <w:rPr>
                <w:color w:val="auto"/>
                <w:sz w:val="24"/>
                <w:szCs w:val="24"/>
                <w:highlight w:val="none"/>
              </w:rPr>
            </w:pPr>
          </w:p>
        </w:tc>
        <w:tc>
          <w:tcPr>
            <w:tcW w:w="2049" w:type="dxa"/>
          </w:tcPr>
          <w:p w14:paraId="4E61525C">
            <w:pPr>
              <w:spacing w:line="240" w:lineRule="auto"/>
              <w:rPr>
                <w:color w:val="auto"/>
                <w:sz w:val="24"/>
                <w:szCs w:val="24"/>
                <w:highlight w:val="none"/>
              </w:rPr>
            </w:pPr>
          </w:p>
        </w:tc>
        <w:tc>
          <w:tcPr>
            <w:tcW w:w="2503" w:type="dxa"/>
          </w:tcPr>
          <w:p w14:paraId="785C2C91">
            <w:pPr>
              <w:spacing w:line="240" w:lineRule="auto"/>
              <w:rPr>
                <w:color w:val="auto"/>
                <w:sz w:val="24"/>
                <w:szCs w:val="24"/>
                <w:highlight w:val="none"/>
              </w:rPr>
            </w:pPr>
          </w:p>
        </w:tc>
        <w:tc>
          <w:tcPr>
            <w:tcW w:w="3480" w:type="dxa"/>
          </w:tcPr>
          <w:p w14:paraId="1D4F48E7">
            <w:pPr>
              <w:spacing w:line="240" w:lineRule="auto"/>
              <w:rPr>
                <w:color w:val="auto"/>
                <w:sz w:val="24"/>
                <w:szCs w:val="24"/>
                <w:highlight w:val="none"/>
              </w:rPr>
            </w:pPr>
          </w:p>
        </w:tc>
      </w:tr>
      <w:tr w14:paraId="16D39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7863D4E9">
            <w:pPr>
              <w:spacing w:line="240" w:lineRule="auto"/>
              <w:rPr>
                <w:color w:val="auto"/>
                <w:sz w:val="24"/>
                <w:szCs w:val="24"/>
                <w:highlight w:val="none"/>
              </w:rPr>
            </w:pPr>
          </w:p>
        </w:tc>
        <w:tc>
          <w:tcPr>
            <w:tcW w:w="2049" w:type="dxa"/>
          </w:tcPr>
          <w:p w14:paraId="73BF5210">
            <w:pPr>
              <w:spacing w:line="240" w:lineRule="auto"/>
              <w:rPr>
                <w:color w:val="auto"/>
                <w:sz w:val="24"/>
                <w:szCs w:val="24"/>
                <w:highlight w:val="none"/>
              </w:rPr>
            </w:pPr>
          </w:p>
        </w:tc>
        <w:tc>
          <w:tcPr>
            <w:tcW w:w="2503" w:type="dxa"/>
          </w:tcPr>
          <w:p w14:paraId="2114CF90">
            <w:pPr>
              <w:spacing w:line="240" w:lineRule="auto"/>
              <w:rPr>
                <w:color w:val="auto"/>
                <w:sz w:val="24"/>
                <w:szCs w:val="24"/>
                <w:highlight w:val="none"/>
              </w:rPr>
            </w:pPr>
          </w:p>
        </w:tc>
        <w:tc>
          <w:tcPr>
            <w:tcW w:w="3480" w:type="dxa"/>
          </w:tcPr>
          <w:p w14:paraId="679D0DA6">
            <w:pPr>
              <w:spacing w:line="240" w:lineRule="auto"/>
              <w:rPr>
                <w:color w:val="auto"/>
                <w:sz w:val="24"/>
                <w:szCs w:val="24"/>
                <w:highlight w:val="none"/>
              </w:rPr>
            </w:pPr>
          </w:p>
        </w:tc>
      </w:tr>
    </w:tbl>
    <w:p w14:paraId="27651F28">
      <w:pPr>
        <w:spacing w:before="75" w:line="240" w:lineRule="auto"/>
        <w:ind w:left="64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6"/>
          <w:sz w:val="24"/>
          <w:szCs w:val="24"/>
          <w:highlight w:val="none"/>
          <w:lang w:eastAsia="zh-CN"/>
        </w:rPr>
        <w:t>项目编号</w:t>
      </w:r>
      <w:r>
        <w:rPr>
          <w:rFonts w:hint="eastAsia"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774238">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eastAsia" w:ascii="宋体" w:hAnsi="宋体" w:eastAsia="宋体" w:cs="宋体"/>
          <w:b/>
          <w:sz w:val="24"/>
          <w:szCs w:val="24"/>
          <w:highlight w:val="none"/>
        </w:rPr>
      </w:pPr>
      <w:r>
        <w:rPr>
          <w:rFonts w:hint="eastAsia" w:ascii="宋体" w:hAnsi="宋体" w:eastAsia="宋体" w:cs="宋体"/>
          <w:b/>
          <w:bCs/>
          <w:color w:val="auto"/>
          <w:spacing w:val="6"/>
          <w:sz w:val="24"/>
          <w:szCs w:val="24"/>
          <w:highlight w:val="none"/>
        </w:rPr>
        <w:t>注：</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投标人须对招标文件“</w:t>
      </w:r>
      <w:r>
        <w:rPr>
          <w:rFonts w:hint="eastAsia" w:ascii="宋体" w:hAnsi="宋体" w:eastAsia="宋体" w:cs="宋体"/>
          <w:b/>
          <w:sz w:val="24"/>
          <w:szCs w:val="24"/>
          <w:highlight w:val="none"/>
          <w:lang w:val="en-US" w:eastAsia="zh-CN"/>
        </w:rPr>
        <w:t xml:space="preserve">第六章 </w:t>
      </w:r>
      <w:r>
        <w:rPr>
          <w:rFonts w:hint="eastAsia" w:ascii="宋体" w:hAnsi="宋体" w:eastAsia="宋体" w:cs="宋体"/>
          <w:b/>
          <w:bCs/>
          <w:snapToGrid w:val="0"/>
          <w:color w:val="auto"/>
          <w:kern w:val="44"/>
          <w:sz w:val="24"/>
          <w:szCs w:val="24"/>
          <w:highlight w:val="none"/>
          <w:lang w:val="en-US" w:eastAsia="zh-CN" w:bidi="ar-SA"/>
        </w:rPr>
        <w:t>一、</w:t>
      </w:r>
      <w:r>
        <w:rPr>
          <w:rFonts w:hint="eastAsia" w:ascii="宋体" w:hAnsi="宋体" w:eastAsia="宋体" w:cs="宋体"/>
          <w:b/>
          <w:bCs/>
          <w:color w:val="auto"/>
          <w:kern w:val="44"/>
          <w:sz w:val="24"/>
          <w:szCs w:val="24"/>
          <w:highlight w:val="none"/>
        </w:rPr>
        <w:t>项目概况</w:t>
      </w:r>
      <w:r>
        <w:rPr>
          <w:rFonts w:hint="eastAsia" w:ascii="宋体" w:hAnsi="宋体" w:eastAsia="宋体" w:cs="宋体"/>
          <w:b/>
          <w:bCs/>
          <w:color w:val="auto"/>
          <w:kern w:val="44"/>
          <w:sz w:val="24"/>
          <w:szCs w:val="24"/>
          <w:highlight w:val="none"/>
          <w:lang w:val="en-US" w:eastAsia="zh-CN"/>
        </w:rPr>
        <w:t xml:space="preserve"> </w:t>
      </w:r>
      <w:r>
        <w:rPr>
          <w:rFonts w:hint="eastAsia" w:ascii="宋体" w:hAnsi="宋体" w:eastAsia="宋体" w:cs="宋体"/>
          <w:b/>
          <w:bCs/>
          <w:snapToGrid w:val="0"/>
          <w:color w:val="auto"/>
          <w:kern w:val="44"/>
          <w:sz w:val="24"/>
          <w:szCs w:val="24"/>
          <w:highlight w:val="none"/>
          <w:lang w:val="en-US" w:eastAsia="zh-CN" w:bidi="ar-SA"/>
        </w:rPr>
        <w:t>二、</w:t>
      </w:r>
      <w:r>
        <w:rPr>
          <w:rFonts w:hint="eastAsia" w:ascii="宋体" w:hAnsi="宋体" w:eastAsia="宋体" w:cs="宋体"/>
          <w:b/>
          <w:bCs/>
          <w:color w:val="auto"/>
          <w:kern w:val="44"/>
          <w:sz w:val="24"/>
          <w:szCs w:val="24"/>
          <w:highlight w:val="none"/>
        </w:rPr>
        <w:t>技术</w:t>
      </w:r>
      <w:r>
        <w:rPr>
          <w:rFonts w:hint="eastAsia" w:ascii="宋体" w:hAnsi="宋体" w:eastAsia="宋体" w:cs="宋体"/>
          <w:b/>
          <w:bCs/>
          <w:color w:val="auto"/>
          <w:kern w:val="44"/>
          <w:sz w:val="24"/>
          <w:szCs w:val="24"/>
          <w:highlight w:val="none"/>
          <w:lang w:val="en-US" w:eastAsia="zh-CN"/>
        </w:rPr>
        <w:t>服务</w:t>
      </w:r>
      <w:r>
        <w:rPr>
          <w:rFonts w:hint="eastAsia" w:ascii="宋体" w:hAnsi="宋体" w:eastAsia="宋体" w:cs="宋体"/>
          <w:b/>
          <w:bCs/>
          <w:color w:val="auto"/>
          <w:kern w:val="44"/>
          <w:sz w:val="24"/>
          <w:szCs w:val="24"/>
          <w:highlight w:val="none"/>
        </w:rPr>
        <w:t>要求</w:t>
      </w:r>
      <w:r>
        <w:rPr>
          <w:rFonts w:hint="eastAsia" w:ascii="宋体" w:hAnsi="宋体" w:eastAsia="宋体" w:cs="宋体"/>
          <w:b/>
          <w:sz w:val="24"/>
          <w:szCs w:val="24"/>
          <w:highlight w:val="none"/>
        </w:rPr>
        <w:t>”的各项内容进行应答。本表可只填写与招标文件要求有偏离（包括正偏离及负偏离）的内容，响应完全一致的可不用在此表中逐一列出（视为完全满足），未明确应答的条款均视为接受及满足招标文件要求。</w:t>
      </w:r>
    </w:p>
    <w:p w14:paraId="61E22844">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2.</w:t>
      </w:r>
      <w:r>
        <w:rPr>
          <w:rFonts w:hint="eastAsia" w:ascii="宋体" w:hAnsi="宋体" w:eastAsia="宋体" w:cs="宋体"/>
          <w:sz w:val="24"/>
          <w:szCs w:val="24"/>
          <w:highlight w:val="none"/>
        </w:rPr>
        <w:t>投标应答填写：“满足”、“部分满足”、“不满足”等三种内容。针对满足且优于的事项内容，应首先应答“满足”，在偏离说明中填写正偏离，并陈述优于的具体内容；如无偏离，在偏离说明中填写无偏离即可；对于部分满足的事项内容，在偏离说明中填写负偏离，并陈述不满足的内容。</w:t>
      </w:r>
    </w:p>
    <w:p w14:paraId="16C0D5B0">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对于“技术服务应答表”格式不做限定，投标人可根据自身情况进行调整。</w:t>
      </w:r>
    </w:p>
    <w:p w14:paraId="4B1BE055">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投标人必须据实填写，不得虚假响应，否则将取消投标或中标资格，并按相关规定进行处罚。</w:t>
      </w:r>
    </w:p>
    <w:p w14:paraId="442484AB">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5.招标文件明确要求提供相应证明材料的，应按要求提供证明材料。</w:t>
      </w:r>
    </w:p>
    <w:p w14:paraId="5B5566BB">
      <w:pPr>
        <w:spacing w:line="240" w:lineRule="auto"/>
        <w:ind w:right="13"/>
        <w:rPr>
          <w:rFonts w:ascii="宋体" w:hAnsi="宋体" w:eastAsia="宋体" w:cs="宋体"/>
          <w:b/>
          <w:bCs/>
          <w:color w:val="auto"/>
          <w:spacing w:val="6"/>
          <w:sz w:val="24"/>
          <w:szCs w:val="24"/>
          <w:highlight w:val="none"/>
        </w:rPr>
      </w:pPr>
    </w:p>
    <w:p w14:paraId="653BE419">
      <w:pPr>
        <w:spacing w:line="240" w:lineRule="auto"/>
        <w:rPr>
          <w:color w:val="auto"/>
          <w:sz w:val="24"/>
          <w:szCs w:val="24"/>
          <w:highlight w:val="none"/>
        </w:rPr>
      </w:pPr>
    </w:p>
    <w:p w14:paraId="05D19CB2">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95DFC95">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1185FAAB">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EB3FA73">
      <w:pPr>
        <w:spacing w:line="240" w:lineRule="auto"/>
        <w:rPr>
          <w:color w:val="auto"/>
          <w:highlight w:val="none"/>
        </w:rPr>
        <w:sectPr>
          <w:headerReference r:id="rId31" w:type="default"/>
          <w:footerReference r:id="rId32" w:type="default"/>
          <w:pgSz w:w="11905" w:h="16838"/>
          <w:pgMar w:top="1417" w:right="1417" w:bottom="1417" w:left="1417" w:header="0" w:footer="1134" w:gutter="0"/>
          <w:cols w:space="0" w:num="1"/>
        </w:sectPr>
      </w:pPr>
    </w:p>
    <w:p w14:paraId="20D4EAF8">
      <w:pPr>
        <w:spacing w:before="3" w:line="240" w:lineRule="auto"/>
        <w:ind w:right="13"/>
        <w:jc w:val="center"/>
        <w:outlineLvl w:val="9"/>
        <w:rPr>
          <w:rFonts w:ascii="宋体" w:hAnsi="宋体" w:eastAsia="宋体" w:cs="宋体"/>
          <w:b/>
          <w:bCs/>
          <w:color w:val="auto"/>
          <w:sz w:val="32"/>
          <w:szCs w:val="32"/>
          <w:highlight w:val="none"/>
        </w:rPr>
      </w:pPr>
      <w:bookmarkStart w:id="145" w:name="_Toc884"/>
      <w:bookmarkStart w:id="146" w:name="_Toc16062"/>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、投标人本项目管理、技术、服务人员情况表</w:t>
      </w:r>
      <w:bookmarkEnd w:id="145"/>
      <w:bookmarkEnd w:id="146"/>
    </w:p>
    <w:p w14:paraId="36D76A89">
      <w:pPr>
        <w:spacing w:line="240" w:lineRule="auto"/>
        <w:rPr>
          <w:color w:val="auto"/>
          <w:highlight w:val="none"/>
        </w:rPr>
      </w:pPr>
    </w:p>
    <w:p w14:paraId="64083515">
      <w:pPr>
        <w:spacing w:before="75" w:line="240" w:lineRule="auto"/>
        <w:ind w:firstLine="456" w:firstLineChars="200"/>
        <w:rPr>
          <w:rFonts w:ascii="宋体" w:hAnsi="宋体" w:eastAsia="宋体" w:cs="宋体"/>
          <w:color w:val="auto"/>
          <w:sz w:val="23"/>
          <w:szCs w:val="23"/>
          <w:highlight w:val="none"/>
        </w:rPr>
      </w:pPr>
      <w:r>
        <w:rPr>
          <w:rFonts w:ascii="宋体" w:hAnsi="宋体" w:eastAsia="宋体" w:cs="宋体"/>
          <w:color w:val="auto"/>
          <w:spacing w:val="-6"/>
          <w:sz w:val="24"/>
          <w:szCs w:val="24"/>
          <w:highlight w:val="none"/>
        </w:rPr>
        <w:t>项目名称</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lang w:eastAsia="zh-CN"/>
        </w:rPr>
        <w:t>项目编号</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rPr>
        <w:t xml:space="preserve">              </w:t>
      </w: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rPr>
        <w:t xml:space="preserve">  </w:t>
      </w:r>
    </w:p>
    <w:tbl>
      <w:tblPr>
        <w:tblStyle w:val="23"/>
        <w:tblW w:w="7576"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806"/>
        <w:gridCol w:w="807"/>
        <w:gridCol w:w="807"/>
        <w:gridCol w:w="807"/>
        <w:gridCol w:w="850"/>
        <w:gridCol w:w="959"/>
        <w:gridCol w:w="846"/>
        <w:gridCol w:w="736"/>
      </w:tblGrid>
      <w:tr w14:paraId="1A85A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58" w:type="dxa"/>
            <w:vMerge w:val="restart"/>
            <w:tcBorders>
              <w:bottom w:val="nil"/>
            </w:tcBorders>
          </w:tcPr>
          <w:p w14:paraId="165E578D">
            <w:pPr>
              <w:spacing w:line="240" w:lineRule="auto"/>
              <w:rPr>
                <w:color w:val="auto"/>
                <w:sz w:val="24"/>
                <w:szCs w:val="24"/>
                <w:highlight w:val="none"/>
              </w:rPr>
            </w:pPr>
          </w:p>
          <w:p w14:paraId="5968DC28">
            <w:pPr>
              <w:spacing w:before="75" w:line="240" w:lineRule="auto"/>
              <w:ind w:left="1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类别</w:t>
            </w:r>
          </w:p>
        </w:tc>
        <w:tc>
          <w:tcPr>
            <w:tcW w:w="806" w:type="dxa"/>
            <w:vMerge w:val="restart"/>
            <w:tcBorders>
              <w:bottom w:val="nil"/>
            </w:tcBorders>
          </w:tcPr>
          <w:p w14:paraId="6BC89124">
            <w:pPr>
              <w:spacing w:line="240" w:lineRule="auto"/>
              <w:rPr>
                <w:color w:val="auto"/>
                <w:sz w:val="24"/>
                <w:szCs w:val="24"/>
                <w:highlight w:val="none"/>
              </w:rPr>
            </w:pPr>
          </w:p>
          <w:p w14:paraId="3B21128B">
            <w:pPr>
              <w:spacing w:before="75" w:line="240" w:lineRule="auto"/>
              <w:ind w:left="11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务</w:t>
            </w:r>
          </w:p>
        </w:tc>
        <w:tc>
          <w:tcPr>
            <w:tcW w:w="807" w:type="dxa"/>
            <w:vMerge w:val="restart"/>
            <w:tcBorders>
              <w:bottom w:val="nil"/>
            </w:tcBorders>
          </w:tcPr>
          <w:p w14:paraId="4639F088">
            <w:pPr>
              <w:spacing w:line="240" w:lineRule="auto"/>
              <w:rPr>
                <w:color w:val="auto"/>
                <w:sz w:val="24"/>
                <w:szCs w:val="24"/>
                <w:highlight w:val="none"/>
              </w:rPr>
            </w:pPr>
          </w:p>
          <w:p w14:paraId="36B207D7">
            <w:pPr>
              <w:spacing w:before="75" w:line="240" w:lineRule="auto"/>
              <w:ind w:left="11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姓名</w:t>
            </w:r>
          </w:p>
        </w:tc>
        <w:tc>
          <w:tcPr>
            <w:tcW w:w="807" w:type="dxa"/>
            <w:vMerge w:val="restart"/>
            <w:tcBorders>
              <w:bottom w:val="nil"/>
            </w:tcBorders>
          </w:tcPr>
          <w:p w14:paraId="05B76616">
            <w:pPr>
              <w:spacing w:line="240" w:lineRule="auto"/>
              <w:rPr>
                <w:color w:val="auto"/>
                <w:sz w:val="24"/>
                <w:szCs w:val="24"/>
                <w:highlight w:val="none"/>
              </w:rPr>
            </w:pPr>
          </w:p>
          <w:p w14:paraId="680A2878">
            <w:pPr>
              <w:spacing w:before="74" w:line="240" w:lineRule="auto"/>
              <w:ind w:left="1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称</w:t>
            </w:r>
          </w:p>
        </w:tc>
        <w:tc>
          <w:tcPr>
            <w:tcW w:w="807" w:type="dxa"/>
            <w:vMerge w:val="restart"/>
            <w:tcBorders>
              <w:bottom w:val="nil"/>
            </w:tcBorders>
          </w:tcPr>
          <w:p w14:paraId="648D77CC">
            <w:pPr>
              <w:spacing w:line="240" w:lineRule="auto"/>
              <w:rPr>
                <w:color w:val="auto"/>
                <w:sz w:val="24"/>
                <w:szCs w:val="24"/>
                <w:highlight w:val="none"/>
              </w:rPr>
            </w:pPr>
          </w:p>
          <w:p w14:paraId="5DEEB6B2">
            <w:pPr>
              <w:spacing w:before="75" w:line="240" w:lineRule="auto"/>
              <w:ind w:left="119"/>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常住</w:t>
            </w:r>
          </w:p>
          <w:p w14:paraId="40C036E9">
            <w:pPr>
              <w:spacing w:line="240" w:lineRule="auto"/>
              <w:ind w:left="113"/>
              <w:rPr>
                <w:rFonts w:ascii="宋体" w:hAnsi="宋体" w:eastAsia="宋体" w:cs="宋体"/>
                <w:color w:val="auto"/>
                <w:sz w:val="24"/>
                <w:szCs w:val="24"/>
                <w:highlight w:val="none"/>
              </w:rPr>
            </w:pPr>
            <w:r>
              <w:rPr>
                <w:rFonts w:ascii="宋体" w:hAnsi="宋体" w:eastAsia="宋体" w:cs="宋体"/>
                <w:color w:val="auto"/>
                <w:sz w:val="24"/>
                <w:szCs w:val="24"/>
                <w:highlight w:val="none"/>
              </w:rPr>
              <w:t>地</w:t>
            </w:r>
          </w:p>
        </w:tc>
        <w:tc>
          <w:tcPr>
            <w:tcW w:w="3391" w:type="dxa"/>
            <w:gridSpan w:val="4"/>
          </w:tcPr>
          <w:p w14:paraId="31CC8017">
            <w:pPr>
              <w:spacing w:before="175" w:line="240" w:lineRule="auto"/>
              <w:ind w:left="59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资</w:t>
            </w:r>
            <w:r>
              <w:rPr>
                <w:rFonts w:ascii="宋体" w:hAnsi="宋体" w:eastAsia="宋体" w:cs="宋体"/>
                <w:color w:val="auto"/>
                <w:spacing w:val="6"/>
                <w:sz w:val="24"/>
                <w:szCs w:val="24"/>
                <w:highlight w:val="none"/>
              </w:rPr>
              <w:t>格证明 (附复印件)</w:t>
            </w:r>
          </w:p>
        </w:tc>
      </w:tr>
      <w:tr w14:paraId="1EFDA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58" w:type="dxa"/>
            <w:vMerge w:val="continue"/>
            <w:tcBorders>
              <w:top w:val="nil"/>
            </w:tcBorders>
          </w:tcPr>
          <w:p w14:paraId="47022408">
            <w:pPr>
              <w:spacing w:line="240" w:lineRule="auto"/>
              <w:rPr>
                <w:color w:val="auto"/>
                <w:sz w:val="24"/>
                <w:szCs w:val="24"/>
                <w:highlight w:val="none"/>
              </w:rPr>
            </w:pPr>
          </w:p>
        </w:tc>
        <w:tc>
          <w:tcPr>
            <w:tcW w:w="806" w:type="dxa"/>
            <w:vMerge w:val="continue"/>
            <w:tcBorders>
              <w:top w:val="nil"/>
            </w:tcBorders>
          </w:tcPr>
          <w:p w14:paraId="4CA97A24">
            <w:pPr>
              <w:spacing w:line="240" w:lineRule="auto"/>
              <w:rPr>
                <w:color w:val="auto"/>
                <w:sz w:val="24"/>
                <w:szCs w:val="24"/>
                <w:highlight w:val="none"/>
              </w:rPr>
            </w:pPr>
          </w:p>
        </w:tc>
        <w:tc>
          <w:tcPr>
            <w:tcW w:w="807" w:type="dxa"/>
            <w:vMerge w:val="continue"/>
            <w:tcBorders>
              <w:top w:val="nil"/>
            </w:tcBorders>
          </w:tcPr>
          <w:p w14:paraId="26302ACA">
            <w:pPr>
              <w:spacing w:line="240" w:lineRule="auto"/>
              <w:rPr>
                <w:color w:val="auto"/>
                <w:sz w:val="24"/>
                <w:szCs w:val="24"/>
                <w:highlight w:val="none"/>
              </w:rPr>
            </w:pPr>
          </w:p>
        </w:tc>
        <w:tc>
          <w:tcPr>
            <w:tcW w:w="807" w:type="dxa"/>
            <w:vMerge w:val="continue"/>
            <w:tcBorders>
              <w:top w:val="nil"/>
            </w:tcBorders>
          </w:tcPr>
          <w:p w14:paraId="3A393F56">
            <w:pPr>
              <w:spacing w:line="240" w:lineRule="auto"/>
              <w:rPr>
                <w:color w:val="auto"/>
                <w:sz w:val="24"/>
                <w:szCs w:val="24"/>
                <w:highlight w:val="none"/>
              </w:rPr>
            </w:pPr>
          </w:p>
        </w:tc>
        <w:tc>
          <w:tcPr>
            <w:tcW w:w="807" w:type="dxa"/>
            <w:vMerge w:val="continue"/>
            <w:tcBorders>
              <w:top w:val="nil"/>
            </w:tcBorders>
          </w:tcPr>
          <w:p w14:paraId="56BB4210">
            <w:pPr>
              <w:spacing w:line="240" w:lineRule="auto"/>
              <w:rPr>
                <w:color w:val="auto"/>
                <w:sz w:val="24"/>
                <w:szCs w:val="24"/>
                <w:highlight w:val="none"/>
              </w:rPr>
            </w:pPr>
          </w:p>
        </w:tc>
        <w:tc>
          <w:tcPr>
            <w:tcW w:w="850" w:type="dxa"/>
          </w:tcPr>
          <w:p w14:paraId="1F27F2BE">
            <w:pPr>
              <w:spacing w:before="85" w:line="240" w:lineRule="auto"/>
              <w:ind w:left="113"/>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证书</w:t>
            </w:r>
          </w:p>
          <w:p w14:paraId="11B945C4">
            <w:pPr>
              <w:spacing w:line="240" w:lineRule="auto"/>
              <w:ind w:left="1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w:t>
            </w:r>
            <w:r>
              <w:rPr>
                <w:rFonts w:ascii="宋体" w:hAnsi="宋体" w:eastAsia="宋体" w:cs="宋体"/>
                <w:color w:val="auto"/>
                <w:spacing w:val="3"/>
                <w:sz w:val="24"/>
                <w:szCs w:val="24"/>
                <w:highlight w:val="none"/>
              </w:rPr>
              <w:t>称</w:t>
            </w:r>
          </w:p>
        </w:tc>
        <w:tc>
          <w:tcPr>
            <w:tcW w:w="959" w:type="dxa"/>
          </w:tcPr>
          <w:p w14:paraId="215138C9">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级别</w:t>
            </w:r>
          </w:p>
        </w:tc>
        <w:tc>
          <w:tcPr>
            <w:tcW w:w="846" w:type="dxa"/>
          </w:tcPr>
          <w:p w14:paraId="5EC5E2E8">
            <w:pPr>
              <w:spacing w:before="264" w:line="240" w:lineRule="auto"/>
              <w:ind w:left="1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证号</w:t>
            </w:r>
          </w:p>
        </w:tc>
        <w:tc>
          <w:tcPr>
            <w:tcW w:w="736" w:type="dxa"/>
          </w:tcPr>
          <w:p w14:paraId="41058753">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w:t>
            </w:r>
            <w:r>
              <w:rPr>
                <w:rFonts w:ascii="宋体" w:hAnsi="宋体" w:eastAsia="宋体" w:cs="宋体"/>
                <w:color w:val="auto"/>
                <w:spacing w:val="4"/>
                <w:sz w:val="24"/>
                <w:szCs w:val="24"/>
                <w:highlight w:val="none"/>
              </w:rPr>
              <w:t>业</w:t>
            </w:r>
          </w:p>
        </w:tc>
      </w:tr>
      <w:tr w14:paraId="186D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3ECEE2B1">
            <w:pPr>
              <w:spacing w:line="240" w:lineRule="auto"/>
              <w:ind w:left="123"/>
              <w:rPr>
                <w:rFonts w:ascii="宋体" w:hAnsi="宋体" w:eastAsia="宋体" w:cs="宋体"/>
                <w:color w:val="auto"/>
                <w:spacing w:val="2"/>
                <w:position w:val="9"/>
                <w:sz w:val="24"/>
                <w:szCs w:val="24"/>
                <w:highlight w:val="none"/>
              </w:rPr>
            </w:pPr>
          </w:p>
          <w:p w14:paraId="60998DCE">
            <w:pPr>
              <w:spacing w:line="240" w:lineRule="auto"/>
              <w:ind w:left="123"/>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管理</w:t>
            </w:r>
          </w:p>
          <w:p w14:paraId="523B0656">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1742C0D8">
            <w:pPr>
              <w:spacing w:line="240" w:lineRule="auto"/>
              <w:rPr>
                <w:color w:val="auto"/>
                <w:sz w:val="24"/>
                <w:szCs w:val="24"/>
                <w:highlight w:val="none"/>
              </w:rPr>
            </w:pPr>
          </w:p>
        </w:tc>
        <w:tc>
          <w:tcPr>
            <w:tcW w:w="807" w:type="dxa"/>
          </w:tcPr>
          <w:p w14:paraId="0E17585E">
            <w:pPr>
              <w:spacing w:line="240" w:lineRule="auto"/>
              <w:rPr>
                <w:color w:val="auto"/>
                <w:sz w:val="24"/>
                <w:szCs w:val="24"/>
                <w:highlight w:val="none"/>
              </w:rPr>
            </w:pPr>
          </w:p>
        </w:tc>
        <w:tc>
          <w:tcPr>
            <w:tcW w:w="807" w:type="dxa"/>
          </w:tcPr>
          <w:p w14:paraId="681DA943">
            <w:pPr>
              <w:spacing w:line="240" w:lineRule="auto"/>
              <w:rPr>
                <w:color w:val="auto"/>
                <w:sz w:val="24"/>
                <w:szCs w:val="24"/>
                <w:highlight w:val="none"/>
              </w:rPr>
            </w:pPr>
          </w:p>
        </w:tc>
        <w:tc>
          <w:tcPr>
            <w:tcW w:w="807" w:type="dxa"/>
          </w:tcPr>
          <w:p w14:paraId="5B2E646B">
            <w:pPr>
              <w:spacing w:line="240" w:lineRule="auto"/>
              <w:rPr>
                <w:color w:val="auto"/>
                <w:sz w:val="24"/>
                <w:szCs w:val="24"/>
                <w:highlight w:val="none"/>
              </w:rPr>
            </w:pPr>
          </w:p>
        </w:tc>
        <w:tc>
          <w:tcPr>
            <w:tcW w:w="850" w:type="dxa"/>
          </w:tcPr>
          <w:p w14:paraId="17E15534">
            <w:pPr>
              <w:spacing w:line="240" w:lineRule="auto"/>
              <w:rPr>
                <w:color w:val="auto"/>
                <w:sz w:val="24"/>
                <w:szCs w:val="24"/>
                <w:highlight w:val="none"/>
              </w:rPr>
            </w:pPr>
          </w:p>
        </w:tc>
        <w:tc>
          <w:tcPr>
            <w:tcW w:w="959" w:type="dxa"/>
          </w:tcPr>
          <w:p w14:paraId="0E8AB98E">
            <w:pPr>
              <w:spacing w:line="240" w:lineRule="auto"/>
              <w:rPr>
                <w:color w:val="auto"/>
                <w:sz w:val="24"/>
                <w:szCs w:val="24"/>
                <w:highlight w:val="none"/>
              </w:rPr>
            </w:pPr>
          </w:p>
        </w:tc>
        <w:tc>
          <w:tcPr>
            <w:tcW w:w="846" w:type="dxa"/>
          </w:tcPr>
          <w:p w14:paraId="18E07FB2">
            <w:pPr>
              <w:spacing w:line="240" w:lineRule="auto"/>
              <w:rPr>
                <w:color w:val="auto"/>
                <w:sz w:val="24"/>
                <w:szCs w:val="24"/>
                <w:highlight w:val="none"/>
              </w:rPr>
            </w:pPr>
          </w:p>
        </w:tc>
        <w:tc>
          <w:tcPr>
            <w:tcW w:w="736" w:type="dxa"/>
          </w:tcPr>
          <w:p w14:paraId="6CB0E5E4">
            <w:pPr>
              <w:spacing w:line="240" w:lineRule="auto"/>
              <w:rPr>
                <w:color w:val="auto"/>
                <w:sz w:val="24"/>
                <w:szCs w:val="24"/>
                <w:highlight w:val="none"/>
              </w:rPr>
            </w:pPr>
          </w:p>
        </w:tc>
      </w:tr>
      <w:tr w14:paraId="65BA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58" w:type="dxa"/>
            <w:vMerge w:val="continue"/>
            <w:tcBorders>
              <w:top w:val="nil"/>
              <w:bottom w:val="nil"/>
            </w:tcBorders>
          </w:tcPr>
          <w:p w14:paraId="080010A0">
            <w:pPr>
              <w:spacing w:line="240" w:lineRule="auto"/>
              <w:rPr>
                <w:color w:val="auto"/>
                <w:sz w:val="24"/>
                <w:szCs w:val="24"/>
                <w:highlight w:val="none"/>
              </w:rPr>
            </w:pPr>
          </w:p>
        </w:tc>
        <w:tc>
          <w:tcPr>
            <w:tcW w:w="806" w:type="dxa"/>
          </w:tcPr>
          <w:p w14:paraId="2FBD4265">
            <w:pPr>
              <w:spacing w:line="240" w:lineRule="auto"/>
              <w:rPr>
                <w:color w:val="auto"/>
                <w:sz w:val="24"/>
                <w:szCs w:val="24"/>
                <w:highlight w:val="none"/>
              </w:rPr>
            </w:pPr>
          </w:p>
        </w:tc>
        <w:tc>
          <w:tcPr>
            <w:tcW w:w="807" w:type="dxa"/>
          </w:tcPr>
          <w:p w14:paraId="622DFEAE">
            <w:pPr>
              <w:spacing w:line="240" w:lineRule="auto"/>
              <w:rPr>
                <w:color w:val="auto"/>
                <w:sz w:val="24"/>
                <w:szCs w:val="24"/>
                <w:highlight w:val="none"/>
              </w:rPr>
            </w:pPr>
          </w:p>
        </w:tc>
        <w:tc>
          <w:tcPr>
            <w:tcW w:w="807" w:type="dxa"/>
          </w:tcPr>
          <w:p w14:paraId="006A3C92">
            <w:pPr>
              <w:spacing w:line="240" w:lineRule="auto"/>
              <w:rPr>
                <w:color w:val="auto"/>
                <w:sz w:val="24"/>
                <w:szCs w:val="24"/>
                <w:highlight w:val="none"/>
              </w:rPr>
            </w:pPr>
          </w:p>
        </w:tc>
        <w:tc>
          <w:tcPr>
            <w:tcW w:w="807" w:type="dxa"/>
          </w:tcPr>
          <w:p w14:paraId="63B14A85">
            <w:pPr>
              <w:spacing w:line="240" w:lineRule="auto"/>
              <w:rPr>
                <w:color w:val="auto"/>
                <w:sz w:val="24"/>
                <w:szCs w:val="24"/>
                <w:highlight w:val="none"/>
              </w:rPr>
            </w:pPr>
          </w:p>
        </w:tc>
        <w:tc>
          <w:tcPr>
            <w:tcW w:w="850" w:type="dxa"/>
          </w:tcPr>
          <w:p w14:paraId="3413B55B">
            <w:pPr>
              <w:spacing w:line="240" w:lineRule="auto"/>
              <w:rPr>
                <w:color w:val="auto"/>
                <w:sz w:val="24"/>
                <w:szCs w:val="24"/>
                <w:highlight w:val="none"/>
              </w:rPr>
            </w:pPr>
          </w:p>
        </w:tc>
        <w:tc>
          <w:tcPr>
            <w:tcW w:w="959" w:type="dxa"/>
          </w:tcPr>
          <w:p w14:paraId="01B48633">
            <w:pPr>
              <w:spacing w:line="240" w:lineRule="auto"/>
              <w:rPr>
                <w:color w:val="auto"/>
                <w:sz w:val="24"/>
                <w:szCs w:val="24"/>
                <w:highlight w:val="none"/>
              </w:rPr>
            </w:pPr>
          </w:p>
        </w:tc>
        <w:tc>
          <w:tcPr>
            <w:tcW w:w="846" w:type="dxa"/>
          </w:tcPr>
          <w:p w14:paraId="3D0AD8B5">
            <w:pPr>
              <w:spacing w:line="240" w:lineRule="auto"/>
              <w:rPr>
                <w:color w:val="auto"/>
                <w:sz w:val="24"/>
                <w:szCs w:val="24"/>
                <w:highlight w:val="none"/>
              </w:rPr>
            </w:pPr>
          </w:p>
        </w:tc>
        <w:tc>
          <w:tcPr>
            <w:tcW w:w="736" w:type="dxa"/>
          </w:tcPr>
          <w:p w14:paraId="0B5B955D">
            <w:pPr>
              <w:spacing w:line="240" w:lineRule="auto"/>
              <w:rPr>
                <w:color w:val="auto"/>
                <w:sz w:val="24"/>
                <w:szCs w:val="24"/>
                <w:highlight w:val="none"/>
              </w:rPr>
            </w:pPr>
          </w:p>
        </w:tc>
      </w:tr>
      <w:tr w14:paraId="35B33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1C6BB3BA">
            <w:pPr>
              <w:spacing w:line="240" w:lineRule="auto"/>
              <w:rPr>
                <w:color w:val="auto"/>
                <w:sz w:val="24"/>
                <w:szCs w:val="24"/>
                <w:highlight w:val="none"/>
              </w:rPr>
            </w:pPr>
          </w:p>
        </w:tc>
        <w:tc>
          <w:tcPr>
            <w:tcW w:w="806" w:type="dxa"/>
          </w:tcPr>
          <w:p w14:paraId="3DB62E77">
            <w:pPr>
              <w:spacing w:line="240" w:lineRule="auto"/>
              <w:rPr>
                <w:color w:val="auto"/>
                <w:sz w:val="24"/>
                <w:szCs w:val="24"/>
                <w:highlight w:val="none"/>
              </w:rPr>
            </w:pPr>
          </w:p>
        </w:tc>
        <w:tc>
          <w:tcPr>
            <w:tcW w:w="807" w:type="dxa"/>
          </w:tcPr>
          <w:p w14:paraId="73F4D820">
            <w:pPr>
              <w:spacing w:line="240" w:lineRule="auto"/>
              <w:rPr>
                <w:color w:val="auto"/>
                <w:sz w:val="24"/>
                <w:szCs w:val="24"/>
                <w:highlight w:val="none"/>
              </w:rPr>
            </w:pPr>
          </w:p>
        </w:tc>
        <w:tc>
          <w:tcPr>
            <w:tcW w:w="807" w:type="dxa"/>
          </w:tcPr>
          <w:p w14:paraId="6C24B51B">
            <w:pPr>
              <w:spacing w:line="240" w:lineRule="auto"/>
              <w:rPr>
                <w:color w:val="auto"/>
                <w:sz w:val="24"/>
                <w:szCs w:val="24"/>
                <w:highlight w:val="none"/>
              </w:rPr>
            </w:pPr>
          </w:p>
        </w:tc>
        <w:tc>
          <w:tcPr>
            <w:tcW w:w="807" w:type="dxa"/>
          </w:tcPr>
          <w:p w14:paraId="18890D23">
            <w:pPr>
              <w:spacing w:line="240" w:lineRule="auto"/>
              <w:rPr>
                <w:color w:val="auto"/>
                <w:sz w:val="24"/>
                <w:szCs w:val="24"/>
                <w:highlight w:val="none"/>
              </w:rPr>
            </w:pPr>
          </w:p>
        </w:tc>
        <w:tc>
          <w:tcPr>
            <w:tcW w:w="850" w:type="dxa"/>
          </w:tcPr>
          <w:p w14:paraId="4AE8148A">
            <w:pPr>
              <w:spacing w:line="240" w:lineRule="auto"/>
              <w:rPr>
                <w:color w:val="auto"/>
                <w:sz w:val="24"/>
                <w:szCs w:val="24"/>
                <w:highlight w:val="none"/>
              </w:rPr>
            </w:pPr>
          </w:p>
        </w:tc>
        <w:tc>
          <w:tcPr>
            <w:tcW w:w="959" w:type="dxa"/>
          </w:tcPr>
          <w:p w14:paraId="598E79E9">
            <w:pPr>
              <w:spacing w:line="240" w:lineRule="auto"/>
              <w:rPr>
                <w:color w:val="auto"/>
                <w:sz w:val="24"/>
                <w:szCs w:val="24"/>
                <w:highlight w:val="none"/>
              </w:rPr>
            </w:pPr>
          </w:p>
        </w:tc>
        <w:tc>
          <w:tcPr>
            <w:tcW w:w="846" w:type="dxa"/>
          </w:tcPr>
          <w:p w14:paraId="727E5727">
            <w:pPr>
              <w:spacing w:line="240" w:lineRule="auto"/>
              <w:rPr>
                <w:color w:val="auto"/>
                <w:sz w:val="24"/>
                <w:szCs w:val="24"/>
                <w:highlight w:val="none"/>
              </w:rPr>
            </w:pPr>
          </w:p>
        </w:tc>
        <w:tc>
          <w:tcPr>
            <w:tcW w:w="736" w:type="dxa"/>
          </w:tcPr>
          <w:p w14:paraId="3D70A74A">
            <w:pPr>
              <w:spacing w:line="240" w:lineRule="auto"/>
              <w:rPr>
                <w:color w:val="auto"/>
                <w:sz w:val="24"/>
                <w:szCs w:val="24"/>
                <w:highlight w:val="none"/>
              </w:rPr>
            </w:pPr>
          </w:p>
        </w:tc>
      </w:tr>
      <w:tr w14:paraId="0C890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restart"/>
            <w:tcBorders>
              <w:bottom w:val="nil"/>
            </w:tcBorders>
          </w:tcPr>
          <w:p w14:paraId="372704E9">
            <w:pPr>
              <w:spacing w:line="240" w:lineRule="auto"/>
              <w:ind w:left="118"/>
              <w:rPr>
                <w:rFonts w:ascii="宋体" w:hAnsi="宋体" w:eastAsia="宋体" w:cs="宋体"/>
                <w:color w:val="auto"/>
                <w:spacing w:val="5"/>
                <w:position w:val="9"/>
                <w:sz w:val="24"/>
                <w:szCs w:val="24"/>
                <w:highlight w:val="none"/>
              </w:rPr>
            </w:pPr>
          </w:p>
          <w:p w14:paraId="185D29BB">
            <w:pPr>
              <w:spacing w:line="240" w:lineRule="auto"/>
              <w:ind w:left="118"/>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技</w:t>
            </w:r>
            <w:r>
              <w:rPr>
                <w:rFonts w:ascii="宋体" w:hAnsi="宋体" w:eastAsia="宋体" w:cs="宋体"/>
                <w:color w:val="auto"/>
                <w:spacing w:val="4"/>
                <w:position w:val="9"/>
                <w:sz w:val="24"/>
                <w:szCs w:val="24"/>
                <w:highlight w:val="none"/>
              </w:rPr>
              <w:t>术</w:t>
            </w:r>
          </w:p>
          <w:p w14:paraId="52460F24">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21AA79B9">
            <w:pPr>
              <w:spacing w:line="240" w:lineRule="auto"/>
              <w:rPr>
                <w:color w:val="auto"/>
                <w:sz w:val="24"/>
                <w:szCs w:val="24"/>
                <w:highlight w:val="none"/>
              </w:rPr>
            </w:pPr>
          </w:p>
        </w:tc>
        <w:tc>
          <w:tcPr>
            <w:tcW w:w="807" w:type="dxa"/>
          </w:tcPr>
          <w:p w14:paraId="19FF0AB5">
            <w:pPr>
              <w:spacing w:line="240" w:lineRule="auto"/>
              <w:rPr>
                <w:color w:val="auto"/>
                <w:sz w:val="24"/>
                <w:szCs w:val="24"/>
                <w:highlight w:val="none"/>
              </w:rPr>
            </w:pPr>
          </w:p>
        </w:tc>
        <w:tc>
          <w:tcPr>
            <w:tcW w:w="807" w:type="dxa"/>
          </w:tcPr>
          <w:p w14:paraId="11645A7B">
            <w:pPr>
              <w:spacing w:line="240" w:lineRule="auto"/>
              <w:rPr>
                <w:color w:val="auto"/>
                <w:sz w:val="24"/>
                <w:szCs w:val="24"/>
                <w:highlight w:val="none"/>
              </w:rPr>
            </w:pPr>
          </w:p>
        </w:tc>
        <w:tc>
          <w:tcPr>
            <w:tcW w:w="807" w:type="dxa"/>
          </w:tcPr>
          <w:p w14:paraId="5410E98E">
            <w:pPr>
              <w:spacing w:line="240" w:lineRule="auto"/>
              <w:rPr>
                <w:color w:val="auto"/>
                <w:sz w:val="24"/>
                <w:szCs w:val="24"/>
                <w:highlight w:val="none"/>
              </w:rPr>
            </w:pPr>
          </w:p>
        </w:tc>
        <w:tc>
          <w:tcPr>
            <w:tcW w:w="850" w:type="dxa"/>
          </w:tcPr>
          <w:p w14:paraId="33ABC7DC">
            <w:pPr>
              <w:spacing w:line="240" w:lineRule="auto"/>
              <w:rPr>
                <w:color w:val="auto"/>
                <w:sz w:val="24"/>
                <w:szCs w:val="24"/>
                <w:highlight w:val="none"/>
              </w:rPr>
            </w:pPr>
          </w:p>
        </w:tc>
        <w:tc>
          <w:tcPr>
            <w:tcW w:w="959" w:type="dxa"/>
          </w:tcPr>
          <w:p w14:paraId="4C595708">
            <w:pPr>
              <w:spacing w:line="240" w:lineRule="auto"/>
              <w:rPr>
                <w:color w:val="auto"/>
                <w:sz w:val="24"/>
                <w:szCs w:val="24"/>
                <w:highlight w:val="none"/>
              </w:rPr>
            </w:pPr>
          </w:p>
        </w:tc>
        <w:tc>
          <w:tcPr>
            <w:tcW w:w="846" w:type="dxa"/>
          </w:tcPr>
          <w:p w14:paraId="062F6560">
            <w:pPr>
              <w:spacing w:line="240" w:lineRule="auto"/>
              <w:rPr>
                <w:color w:val="auto"/>
                <w:sz w:val="24"/>
                <w:szCs w:val="24"/>
                <w:highlight w:val="none"/>
              </w:rPr>
            </w:pPr>
          </w:p>
        </w:tc>
        <w:tc>
          <w:tcPr>
            <w:tcW w:w="736" w:type="dxa"/>
          </w:tcPr>
          <w:p w14:paraId="057D6655">
            <w:pPr>
              <w:spacing w:line="240" w:lineRule="auto"/>
              <w:rPr>
                <w:color w:val="auto"/>
                <w:sz w:val="24"/>
                <w:szCs w:val="24"/>
                <w:highlight w:val="none"/>
              </w:rPr>
            </w:pPr>
          </w:p>
        </w:tc>
      </w:tr>
      <w:tr w14:paraId="69CB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bottom w:val="nil"/>
            </w:tcBorders>
          </w:tcPr>
          <w:p w14:paraId="439E1EBD">
            <w:pPr>
              <w:spacing w:line="240" w:lineRule="auto"/>
              <w:rPr>
                <w:color w:val="auto"/>
                <w:sz w:val="24"/>
                <w:szCs w:val="24"/>
                <w:highlight w:val="none"/>
              </w:rPr>
            </w:pPr>
          </w:p>
        </w:tc>
        <w:tc>
          <w:tcPr>
            <w:tcW w:w="806" w:type="dxa"/>
          </w:tcPr>
          <w:p w14:paraId="746FAC35">
            <w:pPr>
              <w:spacing w:line="240" w:lineRule="auto"/>
              <w:rPr>
                <w:color w:val="auto"/>
                <w:sz w:val="24"/>
                <w:szCs w:val="24"/>
                <w:highlight w:val="none"/>
              </w:rPr>
            </w:pPr>
          </w:p>
        </w:tc>
        <w:tc>
          <w:tcPr>
            <w:tcW w:w="807" w:type="dxa"/>
          </w:tcPr>
          <w:p w14:paraId="2671AFE9">
            <w:pPr>
              <w:spacing w:line="240" w:lineRule="auto"/>
              <w:rPr>
                <w:color w:val="auto"/>
                <w:sz w:val="24"/>
                <w:szCs w:val="24"/>
                <w:highlight w:val="none"/>
              </w:rPr>
            </w:pPr>
          </w:p>
        </w:tc>
        <w:tc>
          <w:tcPr>
            <w:tcW w:w="807" w:type="dxa"/>
          </w:tcPr>
          <w:p w14:paraId="03D521D0">
            <w:pPr>
              <w:spacing w:line="240" w:lineRule="auto"/>
              <w:rPr>
                <w:color w:val="auto"/>
                <w:sz w:val="24"/>
                <w:szCs w:val="24"/>
                <w:highlight w:val="none"/>
              </w:rPr>
            </w:pPr>
          </w:p>
        </w:tc>
        <w:tc>
          <w:tcPr>
            <w:tcW w:w="807" w:type="dxa"/>
          </w:tcPr>
          <w:p w14:paraId="7A0ECAE9">
            <w:pPr>
              <w:spacing w:line="240" w:lineRule="auto"/>
              <w:rPr>
                <w:color w:val="auto"/>
                <w:sz w:val="24"/>
                <w:szCs w:val="24"/>
                <w:highlight w:val="none"/>
              </w:rPr>
            </w:pPr>
          </w:p>
        </w:tc>
        <w:tc>
          <w:tcPr>
            <w:tcW w:w="850" w:type="dxa"/>
          </w:tcPr>
          <w:p w14:paraId="5C10BDFF">
            <w:pPr>
              <w:spacing w:line="240" w:lineRule="auto"/>
              <w:rPr>
                <w:color w:val="auto"/>
                <w:sz w:val="24"/>
                <w:szCs w:val="24"/>
                <w:highlight w:val="none"/>
              </w:rPr>
            </w:pPr>
          </w:p>
        </w:tc>
        <w:tc>
          <w:tcPr>
            <w:tcW w:w="959" w:type="dxa"/>
          </w:tcPr>
          <w:p w14:paraId="03E15BA1">
            <w:pPr>
              <w:spacing w:line="240" w:lineRule="auto"/>
              <w:rPr>
                <w:color w:val="auto"/>
                <w:sz w:val="24"/>
                <w:szCs w:val="24"/>
                <w:highlight w:val="none"/>
              </w:rPr>
            </w:pPr>
          </w:p>
        </w:tc>
        <w:tc>
          <w:tcPr>
            <w:tcW w:w="846" w:type="dxa"/>
          </w:tcPr>
          <w:p w14:paraId="7A76F3D0">
            <w:pPr>
              <w:spacing w:line="240" w:lineRule="auto"/>
              <w:rPr>
                <w:color w:val="auto"/>
                <w:sz w:val="24"/>
                <w:szCs w:val="24"/>
                <w:highlight w:val="none"/>
              </w:rPr>
            </w:pPr>
          </w:p>
        </w:tc>
        <w:tc>
          <w:tcPr>
            <w:tcW w:w="736" w:type="dxa"/>
          </w:tcPr>
          <w:p w14:paraId="1602BC4D">
            <w:pPr>
              <w:spacing w:line="240" w:lineRule="auto"/>
              <w:rPr>
                <w:color w:val="auto"/>
                <w:sz w:val="24"/>
                <w:szCs w:val="24"/>
                <w:highlight w:val="none"/>
              </w:rPr>
            </w:pPr>
          </w:p>
        </w:tc>
      </w:tr>
      <w:tr w14:paraId="10EEC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44D57D49">
            <w:pPr>
              <w:spacing w:line="240" w:lineRule="auto"/>
              <w:rPr>
                <w:color w:val="auto"/>
                <w:sz w:val="24"/>
                <w:szCs w:val="24"/>
                <w:highlight w:val="none"/>
              </w:rPr>
            </w:pPr>
          </w:p>
        </w:tc>
        <w:tc>
          <w:tcPr>
            <w:tcW w:w="806" w:type="dxa"/>
          </w:tcPr>
          <w:p w14:paraId="74CDE72F">
            <w:pPr>
              <w:spacing w:line="240" w:lineRule="auto"/>
              <w:rPr>
                <w:color w:val="auto"/>
                <w:sz w:val="24"/>
                <w:szCs w:val="24"/>
                <w:highlight w:val="none"/>
              </w:rPr>
            </w:pPr>
          </w:p>
        </w:tc>
        <w:tc>
          <w:tcPr>
            <w:tcW w:w="807" w:type="dxa"/>
          </w:tcPr>
          <w:p w14:paraId="2A45B08C">
            <w:pPr>
              <w:spacing w:line="240" w:lineRule="auto"/>
              <w:rPr>
                <w:color w:val="auto"/>
                <w:sz w:val="24"/>
                <w:szCs w:val="24"/>
                <w:highlight w:val="none"/>
              </w:rPr>
            </w:pPr>
          </w:p>
        </w:tc>
        <w:tc>
          <w:tcPr>
            <w:tcW w:w="807" w:type="dxa"/>
          </w:tcPr>
          <w:p w14:paraId="0E9E9D11">
            <w:pPr>
              <w:spacing w:line="240" w:lineRule="auto"/>
              <w:rPr>
                <w:color w:val="auto"/>
                <w:sz w:val="24"/>
                <w:szCs w:val="24"/>
                <w:highlight w:val="none"/>
              </w:rPr>
            </w:pPr>
          </w:p>
        </w:tc>
        <w:tc>
          <w:tcPr>
            <w:tcW w:w="807" w:type="dxa"/>
          </w:tcPr>
          <w:p w14:paraId="544E0727">
            <w:pPr>
              <w:spacing w:line="240" w:lineRule="auto"/>
              <w:rPr>
                <w:color w:val="auto"/>
                <w:sz w:val="24"/>
                <w:szCs w:val="24"/>
                <w:highlight w:val="none"/>
              </w:rPr>
            </w:pPr>
          </w:p>
        </w:tc>
        <w:tc>
          <w:tcPr>
            <w:tcW w:w="850" w:type="dxa"/>
          </w:tcPr>
          <w:p w14:paraId="7BE479E8">
            <w:pPr>
              <w:spacing w:line="240" w:lineRule="auto"/>
              <w:rPr>
                <w:color w:val="auto"/>
                <w:sz w:val="24"/>
                <w:szCs w:val="24"/>
                <w:highlight w:val="none"/>
              </w:rPr>
            </w:pPr>
          </w:p>
        </w:tc>
        <w:tc>
          <w:tcPr>
            <w:tcW w:w="959" w:type="dxa"/>
          </w:tcPr>
          <w:p w14:paraId="100B339B">
            <w:pPr>
              <w:spacing w:line="240" w:lineRule="auto"/>
              <w:rPr>
                <w:color w:val="auto"/>
                <w:sz w:val="24"/>
                <w:szCs w:val="24"/>
                <w:highlight w:val="none"/>
              </w:rPr>
            </w:pPr>
          </w:p>
        </w:tc>
        <w:tc>
          <w:tcPr>
            <w:tcW w:w="846" w:type="dxa"/>
          </w:tcPr>
          <w:p w14:paraId="2AD25ACE">
            <w:pPr>
              <w:spacing w:line="240" w:lineRule="auto"/>
              <w:rPr>
                <w:color w:val="auto"/>
                <w:sz w:val="24"/>
                <w:szCs w:val="24"/>
                <w:highlight w:val="none"/>
              </w:rPr>
            </w:pPr>
          </w:p>
        </w:tc>
        <w:tc>
          <w:tcPr>
            <w:tcW w:w="736" w:type="dxa"/>
          </w:tcPr>
          <w:p w14:paraId="2A64FDE3">
            <w:pPr>
              <w:spacing w:line="240" w:lineRule="auto"/>
              <w:rPr>
                <w:color w:val="auto"/>
                <w:sz w:val="24"/>
                <w:szCs w:val="24"/>
                <w:highlight w:val="none"/>
              </w:rPr>
            </w:pPr>
          </w:p>
        </w:tc>
      </w:tr>
      <w:tr w14:paraId="238A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61618515">
            <w:pPr>
              <w:spacing w:before="89" w:line="240" w:lineRule="auto"/>
              <w:ind w:left="118" w:right="125"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售后</w:t>
            </w:r>
            <w:r>
              <w:rPr>
                <w:rFonts w:ascii="宋体" w:hAnsi="宋体" w:eastAsia="宋体" w:cs="宋体"/>
                <w:color w:val="auto"/>
                <w:spacing w:val="6"/>
                <w:sz w:val="24"/>
                <w:szCs w:val="24"/>
                <w:highlight w:val="none"/>
              </w:rPr>
              <w:t>服务人员</w:t>
            </w:r>
          </w:p>
        </w:tc>
        <w:tc>
          <w:tcPr>
            <w:tcW w:w="806" w:type="dxa"/>
          </w:tcPr>
          <w:p w14:paraId="1B917131">
            <w:pPr>
              <w:spacing w:line="240" w:lineRule="auto"/>
              <w:rPr>
                <w:color w:val="auto"/>
                <w:sz w:val="24"/>
                <w:szCs w:val="24"/>
                <w:highlight w:val="none"/>
              </w:rPr>
            </w:pPr>
          </w:p>
        </w:tc>
        <w:tc>
          <w:tcPr>
            <w:tcW w:w="807" w:type="dxa"/>
          </w:tcPr>
          <w:p w14:paraId="1968F329">
            <w:pPr>
              <w:spacing w:line="240" w:lineRule="auto"/>
              <w:rPr>
                <w:color w:val="auto"/>
                <w:sz w:val="24"/>
                <w:szCs w:val="24"/>
                <w:highlight w:val="none"/>
              </w:rPr>
            </w:pPr>
          </w:p>
        </w:tc>
        <w:tc>
          <w:tcPr>
            <w:tcW w:w="807" w:type="dxa"/>
          </w:tcPr>
          <w:p w14:paraId="5270F70D">
            <w:pPr>
              <w:spacing w:line="240" w:lineRule="auto"/>
              <w:rPr>
                <w:color w:val="auto"/>
                <w:sz w:val="24"/>
                <w:szCs w:val="24"/>
                <w:highlight w:val="none"/>
              </w:rPr>
            </w:pPr>
          </w:p>
        </w:tc>
        <w:tc>
          <w:tcPr>
            <w:tcW w:w="807" w:type="dxa"/>
          </w:tcPr>
          <w:p w14:paraId="62140815">
            <w:pPr>
              <w:spacing w:line="240" w:lineRule="auto"/>
              <w:rPr>
                <w:color w:val="auto"/>
                <w:sz w:val="24"/>
                <w:szCs w:val="24"/>
                <w:highlight w:val="none"/>
              </w:rPr>
            </w:pPr>
          </w:p>
        </w:tc>
        <w:tc>
          <w:tcPr>
            <w:tcW w:w="850" w:type="dxa"/>
          </w:tcPr>
          <w:p w14:paraId="2EF4541F">
            <w:pPr>
              <w:spacing w:line="240" w:lineRule="auto"/>
              <w:rPr>
                <w:color w:val="auto"/>
                <w:sz w:val="24"/>
                <w:szCs w:val="24"/>
                <w:highlight w:val="none"/>
              </w:rPr>
            </w:pPr>
          </w:p>
        </w:tc>
        <w:tc>
          <w:tcPr>
            <w:tcW w:w="959" w:type="dxa"/>
          </w:tcPr>
          <w:p w14:paraId="26237ACA">
            <w:pPr>
              <w:spacing w:line="240" w:lineRule="auto"/>
              <w:rPr>
                <w:color w:val="auto"/>
                <w:sz w:val="24"/>
                <w:szCs w:val="24"/>
                <w:highlight w:val="none"/>
              </w:rPr>
            </w:pPr>
          </w:p>
        </w:tc>
        <w:tc>
          <w:tcPr>
            <w:tcW w:w="846" w:type="dxa"/>
          </w:tcPr>
          <w:p w14:paraId="7E7DB4B2">
            <w:pPr>
              <w:spacing w:line="240" w:lineRule="auto"/>
              <w:rPr>
                <w:color w:val="auto"/>
                <w:sz w:val="24"/>
                <w:szCs w:val="24"/>
                <w:highlight w:val="none"/>
              </w:rPr>
            </w:pPr>
          </w:p>
        </w:tc>
        <w:tc>
          <w:tcPr>
            <w:tcW w:w="736" w:type="dxa"/>
          </w:tcPr>
          <w:p w14:paraId="69A2803D">
            <w:pPr>
              <w:spacing w:line="240" w:lineRule="auto"/>
              <w:rPr>
                <w:color w:val="auto"/>
                <w:sz w:val="24"/>
                <w:szCs w:val="24"/>
                <w:highlight w:val="none"/>
              </w:rPr>
            </w:pPr>
          </w:p>
        </w:tc>
      </w:tr>
      <w:tr w14:paraId="7F947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continue"/>
            <w:tcBorders>
              <w:top w:val="nil"/>
            </w:tcBorders>
          </w:tcPr>
          <w:p w14:paraId="786AEFC4">
            <w:pPr>
              <w:spacing w:line="240" w:lineRule="auto"/>
              <w:rPr>
                <w:color w:val="auto"/>
                <w:sz w:val="24"/>
                <w:szCs w:val="24"/>
                <w:highlight w:val="none"/>
              </w:rPr>
            </w:pPr>
          </w:p>
        </w:tc>
        <w:tc>
          <w:tcPr>
            <w:tcW w:w="806" w:type="dxa"/>
          </w:tcPr>
          <w:p w14:paraId="56400863">
            <w:pPr>
              <w:spacing w:line="240" w:lineRule="auto"/>
              <w:rPr>
                <w:color w:val="auto"/>
                <w:sz w:val="24"/>
                <w:szCs w:val="24"/>
                <w:highlight w:val="none"/>
              </w:rPr>
            </w:pPr>
          </w:p>
        </w:tc>
        <w:tc>
          <w:tcPr>
            <w:tcW w:w="807" w:type="dxa"/>
          </w:tcPr>
          <w:p w14:paraId="336BA113">
            <w:pPr>
              <w:spacing w:line="240" w:lineRule="auto"/>
              <w:rPr>
                <w:color w:val="auto"/>
                <w:sz w:val="24"/>
                <w:szCs w:val="24"/>
                <w:highlight w:val="none"/>
              </w:rPr>
            </w:pPr>
          </w:p>
        </w:tc>
        <w:tc>
          <w:tcPr>
            <w:tcW w:w="807" w:type="dxa"/>
          </w:tcPr>
          <w:p w14:paraId="60EEB86A">
            <w:pPr>
              <w:spacing w:line="240" w:lineRule="auto"/>
              <w:rPr>
                <w:color w:val="auto"/>
                <w:sz w:val="24"/>
                <w:szCs w:val="24"/>
                <w:highlight w:val="none"/>
              </w:rPr>
            </w:pPr>
          </w:p>
        </w:tc>
        <w:tc>
          <w:tcPr>
            <w:tcW w:w="807" w:type="dxa"/>
          </w:tcPr>
          <w:p w14:paraId="1CC6FC31">
            <w:pPr>
              <w:spacing w:line="240" w:lineRule="auto"/>
              <w:rPr>
                <w:color w:val="auto"/>
                <w:sz w:val="24"/>
                <w:szCs w:val="24"/>
                <w:highlight w:val="none"/>
              </w:rPr>
            </w:pPr>
          </w:p>
        </w:tc>
        <w:tc>
          <w:tcPr>
            <w:tcW w:w="850" w:type="dxa"/>
          </w:tcPr>
          <w:p w14:paraId="0261DCC9">
            <w:pPr>
              <w:spacing w:line="240" w:lineRule="auto"/>
              <w:rPr>
                <w:color w:val="auto"/>
                <w:sz w:val="24"/>
                <w:szCs w:val="24"/>
                <w:highlight w:val="none"/>
              </w:rPr>
            </w:pPr>
          </w:p>
        </w:tc>
        <w:tc>
          <w:tcPr>
            <w:tcW w:w="959" w:type="dxa"/>
          </w:tcPr>
          <w:p w14:paraId="2538EA28">
            <w:pPr>
              <w:spacing w:line="240" w:lineRule="auto"/>
              <w:rPr>
                <w:color w:val="auto"/>
                <w:sz w:val="24"/>
                <w:szCs w:val="24"/>
                <w:highlight w:val="none"/>
              </w:rPr>
            </w:pPr>
          </w:p>
        </w:tc>
        <w:tc>
          <w:tcPr>
            <w:tcW w:w="846" w:type="dxa"/>
          </w:tcPr>
          <w:p w14:paraId="62F3957A">
            <w:pPr>
              <w:spacing w:line="240" w:lineRule="auto"/>
              <w:rPr>
                <w:color w:val="auto"/>
                <w:sz w:val="24"/>
                <w:szCs w:val="24"/>
                <w:highlight w:val="none"/>
              </w:rPr>
            </w:pPr>
          </w:p>
        </w:tc>
        <w:tc>
          <w:tcPr>
            <w:tcW w:w="736" w:type="dxa"/>
          </w:tcPr>
          <w:p w14:paraId="23F6F915">
            <w:pPr>
              <w:spacing w:line="240" w:lineRule="auto"/>
              <w:rPr>
                <w:color w:val="auto"/>
                <w:sz w:val="24"/>
                <w:szCs w:val="24"/>
                <w:highlight w:val="none"/>
              </w:rPr>
            </w:pPr>
          </w:p>
        </w:tc>
      </w:tr>
    </w:tbl>
    <w:p w14:paraId="264DE389">
      <w:pPr>
        <w:spacing w:line="240" w:lineRule="auto"/>
        <w:rPr>
          <w:color w:val="auto"/>
          <w:highlight w:val="none"/>
        </w:rPr>
      </w:pPr>
    </w:p>
    <w:p w14:paraId="0DEA540B">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5C346DA1">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55E0FCC4">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EC504A8">
      <w:pPr>
        <w:spacing w:line="240" w:lineRule="auto"/>
        <w:rPr>
          <w:color w:val="auto"/>
          <w:highlight w:val="none"/>
        </w:rPr>
      </w:pPr>
    </w:p>
    <w:p w14:paraId="78AA04E4">
      <w:pPr>
        <w:spacing w:line="240" w:lineRule="auto"/>
        <w:rPr>
          <w:color w:val="auto"/>
          <w:highlight w:val="none"/>
        </w:rPr>
      </w:pPr>
    </w:p>
    <w:p w14:paraId="5AA272C2">
      <w:pPr>
        <w:spacing w:line="240" w:lineRule="auto"/>
        <w:rPr>
          <w:color w:val="auto"/>
          <w:highlight w:val="none"/>
        </w:rPr>
      </w:pPr>
    </w:p>
    <w:p w14:paraId="7BA0D281">
      <w:pPr>
        <w:spacing w:line="240" w:lineRule="auto"/>
        <w:rPr>
          <w:color w:val="auto"/>
          <w:highlight w:val="none"/>
        </w:rPr>
      </w:pPr>
    </w:p>
    <w:p w14:paraId="3E889E31">
      <w:pPr>
        <w:spacing w:line="240" w:lineRule="auto"/>
        <w:rPr>
          <w:color w:val="auto"/>
          <w:highlight w:val="none"/>
        </w:rPr>
      </w:pPr>
    </w:p>
    <w:p w14:paraId="4139062F">
      <w:pPr>
        <w:spacing w:line="240" w:lineRule="auto"/>
        <w:rPr>
          <w:color w:val="auto"/>
          <w:highlight w:val="none"/>
        </w:rPr>
      </w:pPr>
    </w:p>
    <w:p w14:paraId="6F71E6ED">
      <w:pPr>
        <w:spacing w:line="240" w:lineRule="auto"/>
        <w:rPr>
          <w:color w:val="auto"/>
          <w:highlight w:val="none"/>
        </w:rPr>
      </w:pPr>
    </w:p>
    <w:p w14:paraId="24F7B621">
      <w:pPr>
        <w:spacing w:line="240" w:lineRule="auto"/>
        <w:rPr>
          <w:color w:val="auto"/>
          <w:highlight w:val="none"/>
        </w:rPr>
      </w:pPr>
    </w:p>
    <w:p w14:paraId="782CB63B">
      <w:pPr>
        <w:spacing w:line="240" w:lineRule="auto"/>
        <w:rPr>
          <w:color w:val="auto"/>
          <w:highlight w:val="none"/>
        </w:rPr>
      </w:pPr>
    </w:p>
    <w:p w14:paraId="6D24A7C8">
      <w:pPr>
        <w:spacing w:line="240" w:lineRule="auto"/>
        <w:rPr>
          <w:color w:val="auto"/>
          <w:highlight w:val="none"/>
        </w:rPr>
      </w:pPr>
    </w:p>
    <w:p w14:paraId="4741251D">
      <w:pPr>
        <w:spacing w:line="240" w:lineRule="auto"/>
        <w:rPr>
          <w:color w:val="auto"/>
          <w:highlight w:val="none"/>
        </w:rPr>
      </w:pPr>
    </w:p>
    <w:p w14:paraId="1F4E3802">
      <w:pPr>
        <w:spacing w:line="240" w:lineRule="auto"/>
        <w:rPr>
          <w:color w:val="auto"/>
          <w:highlight w:val="none"/>
        </w:rPr>
      </w:pPr>
    </w:p>
    <w:p w14:paraId="2E192247">
      <w:pPr>
        <w:spacing w:line="240" w:lineRule="auto"/>
        <w:rPr>
          <w:color w:val="auto"/>
          <w:highlight w:val="none"/>
        </w:rPr>
      </w:pPr>
    </w:p>
    <w:p w14:paraId="72000667">
      <w:pPr>
        <w:spacing w:line="240" w:lineRule="auto"/>
        <w:rPr>
          <w:color w:val="auto"/>
          <w:highlight w:val="none"/>
        </w:rPr>
      </w:pPr>
    </w:p>
    <w:p w14:paraId="316BC4A6">
      <w:pPr>
        <w:spacing w:line="240" w:lineRule="auto"/>
        <w:rPr>
          <w:color w:val="auto"/>
          <w:highlight w:val="none"/>
        </w:rPr>
      </w:pPr>
    </w:p>
    <w:p w14:paraId="65423261">
      <w:pPr>
        <w:spacing w:line="240" w:lineRule="auto"/>
        <w:rPr>
          <w:color w:val="auto"/>
          <w:highlight w:val="none"/>
        </w:rPr>
      </w:pPr>
    </w:p>
    <w:p w14:paraId="041493C5">
      <w:pPr>
        <w:spacing w:line="240" w:lineRule="auto"/>
        <w:rPr>
          <w:color w:val="auto"/>
          <w:highlight w:val="none"/>
        </w:rPr>
        <w:sectPr>
          <w:headerReference r:id="rId33" w:type="default"/>
          <w:footerReference r:id="rId34" w:type="default"/>
          <w:pgSz w:w="11905" w:h="16838"/>
          <w:pgMar w:top="1417" w:right="1417" w:bottom="1417" w:left="1417" w:header="0" w:footer="1134" w:gutter="0"/>
          <w:cols w:space="0" w:num="1"/>
        </w:sectPr>
      </w:pPr>
    </w:p>
    <w:p w14:paraId="5521179C">
      <w:pPr>
        <w:spacing w:before="3" w:line="240" w:lineRule="auto"/>
        <w:ind w:right="13"/>
        <w:jc w:val="both"/>
        <w:rPr>
          <w:rFonts w:ascii="宋体" w:hAnsi="宋体" w:eastAsia="宋体" w:cs="宋体"/>
          <w:b/>
          <w:bCs/>
          <w:color w:val="auto"/>
          <w:sz w:val="32"/>
          <w:szCs w:val="32"/>
          <w:highlight w:val="none"/>
        </w:rPr>
      </w:pPr>
    </w:p>
    <w:p w14:paraId="4698E2FF">
      <w:pPr>
        <w:spacing w:before="3" w:line="240" w:lineRule="auto"/>
        <w:ind w:right="13"/>
        <w:jc w:val="center"/>
        <w:outlineLvl w:val="9"/>
        <w:rPr>
          <w:rFonts w:ascii="宋体" w:hAnsi="宋体" w:eastAsia="宋体" w:cs="宋体"/>
          <w:b/>
          <w:bCs/>
          <w:color w:val="auto"/>
          <w:sz w:val="32"/>
          <w:szCs w:val="32"/>
          <w:highlight w:val="none"/>
        </w:rPr>
      </w:pPr>
      <w:bookmarkStart w:id="147" w:name="_Toc20221"/>
      <w:bookmarkStart w:id="148" w:name="_Toc24427"/>
      <w:r>
        <w:rPr>
          <w:rFonts w:hint="eastAsia" w:ascii="宋体" w:hAnsi="宋体" w:eastAsia="宋体" w:cs="宋体"/>
          <w:b/>
          <w:bCs/>
          <w:color w:val="auto"/>
          <w:sz w:val="32"/>
          <w:szCs w:val="32"/>
          <w:highlight w:val="none"/>
          <w:lang w:eastAsia="zh-CN"/>
        </w:rPr>
        <w:t>九</w:t>
      </w:r>
      <w:r>
        <w:rPr>
          <w:rFonts w:hint="eastAsia" w:ascii="宋体" w:hAnsi="宋体" w:eastAsia="宋体" w:cs="宋体"/>
          <w:b/>
          <w:bCs/>
          <w:color w:val="auto"/>
          <w:sz w:val="32"/>
          <w:szCs w:val="32"/>
          <w:highlight w:val="none"/>
        </w:rPr>
        <w:t>、承诺函(实质性要求)</w:t>
      </w:r>
      <w:bookmarkEnd w:id="147"/>
      <w:bookmarkEnd w:id="148"/>
    </w:p>
    <w:p w14:paraId="68DE1ABD">
      <w:pPr>
        <w:tabs>
          <w:tab w:val="left" w:pos="1948"/>
        </w:tabs>
        <w:spacing w:before="176" w:line="240" w:lineRule="auto"/>
        <w:ind w:left="14"/>
        <w:rPr>
          <w:rFonts w:ascii="宋体" w:hAnsi="宋体" w:eastAsia="宋体" w:cs="宋体"/>
          <w:color w:val="auto"/>
          <w:sz w:val="23"/>
          <w:szCs w:val="23"/>
          <w:highlight w:val="none"/>
          <w:u w:val="single"/>
        </w:rPr>
      </w:pPr>
    </w:p>
    <w:p w14:paraId="4E96C896">
      <w:pPr>
        <w:tabs>
          <w:tab w:val="left" w:pos="1948"/>
        </w:tabs>
        <w:spacing w:before="176"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pacing w:val="6"/>
          <w:sz w:val="24"/>
          <w:szCs w:val="24"/>
          <w:highlight w:val="none"/>
        </w:rPr>
        <w:t>(招标代理机构名称)：</w:t>
      </w:r>
    </w:p>
    <w:p w14:paraId="32BB0F94">
      <w:pPr>
        <w:spacing w:line="240" w:lineRule="auto"/>
        <w:rPr>
          <w:color w:val="auto"/>
          <w:sz w:val="24"/>
          <w:szCs w:val="24"/>
          <w:highlight w:val="none"/>
        </w:rPr>
      </w:pPr>
    </w:p>
    <w:p w14:paraId="71FD387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我单位作为本次采购项目的投标人，根据招标文件要求，现郑重承诺如下：</w:t>
      </w:r>
    </w:p>
    <w:p w14:paraId="5C782C8C">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8E8D6EA">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二、参加本次招标采购活动，不存在与单位负责人为同一人或者存在直接控股、管理关系的其他供应商参与同一合同项下的采购活动的行为。</w:t>
      </w:r>
    </w:p>
    <w:p w14:paraId="69524C9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三、参加本次招标采购活动，不存在和其他供应商在同一合同项下的采购项目中，同时委托同一个自然人、同一家庭的人员、同一单位的人员作为代理人的行为。</w:t>
      </w:r>
    </w:p>
    <w:p w14:paraId="4B12C8F4">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四、为采购项目提供整体设计、规范编制或者项目管理、监理、检测等服务的供应商，不得再参加该采购项目的其他采购活动，我单位承诺不属于此类禁止参加本项目的供应商。</w:t>
      </w:r>
    </w:p>
    <w:p w14:paraId="68577FF4">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五、投标文件中提供的能够给予我公司带来优惠、好处的任何材料资料和技术、服务、商务等响应承诺情况都是真实的、有效的、合法的。</w:t>
      </w:r>
    </w:p>
    <w:p w14:paraId="0830B9F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1A8EBA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七、参加本次招标采购活动，我方完全同意招标文件第二章关于“投标费用”、“合同分包”、“合同转包”、“履约保证金”的实质性要求，并承诺严格按照招标文件要求履行。</w:t>
      </w:r>
    </w:p>
    <w:p w14:paraId="20D49EB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14:paraId="21E7365B">
      <w:pPr>
        <w:spacing w:line="240" w:lineRule="auto"/>
        <w:ind w:left="24" w:right="13" w:firstLine="471"/>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九、本次投标报价是响应招标项目要求的全部工作内容的价格体现，包括完成本项目所需的一切费用。</w:t>
      </w:r>
    </w:p>
    <w:p w14:paraId="1C61692E">
      <w:pPr>
        <w:spacing w:line="240" w:lineRule="auto"/>
        <w:ind w:left="24" w:right="13" w:firstLine="471"/>
        <w:rPr>
          <w:rFonts w:hint="eastAsia" w:eastAsia="宋体"/>
          <w:highlight w:val="none"/>
          <w:lang w:val="en-US" w:eastAsia="zh-CN"/>
        </w:rPr>
      </w:pPr>
      <w:r>
        <w:rPr>
          <w:rFonts w:hint="eastAsia" w:ascii="宋体" w:hAnsi="宋体" w:eastAsia="宋体" w:cs="宋体"/>
          <w:color w:val="auto"/>
          <w:spacing w:val="6"/>
          <w:sz w:val="24"/>
          <w:szCs w:val="24"/>
          <w:highlight w:val="none"/>
          <w:lang w:val="en-US" w:eastAsia="zh-CN"/>
        </w:rPr>
        <w:t>十、如我单位被确定为中标人，如招标文件要求，我单位将按照招标文件规定向招标代理机构支付招标代理服务费。</w:t>
      </w:r>
    </w:p>
    <w:p w14:paraId="47DBC35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我方对上述承诺的内容事项真实性负责。如经查实上述承诺的内容事项存在虚假，我方愿意接受以提供虚假材料谋取中标追究法律责任。</w:t>
      </w:r>
    </w:p>
    <w:p w14:paraId="376B77C2">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47A5C09">
      <w:pPr>
        <w:spacing w:before="77" w:line="240" w:lineRule="auto"/>
        <w:ind w:left="494"/>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2AB57AC4">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D9960F">
      <w:pPr>
        <w:spacing w:line="240" w:lineRule="auto"/>
        <w:rPr>
          <w:color w:val="auto"/>
          <w:highlight w:val="none"/>
        </w:rPr>
        <w:sectPr>
          <w:headerReference r:id="rId35" w:type="default"/>
          <w:footerReference r:id="rId36" w:type="default"/>
          <w:pgSz w:w="11905" w:h="16838"/>
          <w:pgMar w:top="1417" w:right="1417" w:bottom="1417" w:left="1417" w:header="0" w:footer="1134" w:gutter="0"/>
          <w:cols w:space="0" w:num="1"/>
        </w:sectPr>
      </w:pPr>
    </w:p>
    <w:p w14:paraId="3DA1EE27">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49" w:name="_Toc7001"/>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bookmarkEnd w:id="149"/>
    </w:p>
    <w:p w14:paraId="69E91EAB">
      <w:pPr>
        <w:spacing w:line="240" w:lineRule="auto"/>
        <w:rPr>
          <w:rFonts w:ascii="宋体" w:hAnsi="宋体" w:eastAsia="宋体" w:cs="宋体"/>
          <w:b/>
          <w:bCs/>
          <w:color w:val="auto"/>
          <w:sz w:val="24"/>
          <w:szCs w:val="24"/>
          <w:highlight w:val="none"/>
        </w:rPr>
      </w:pPr>
      <w:bookmarkStart w:id="150" w:name="_Toc9678"/>
      <w:bookmarkStart w:id="151" w:name="_Toc12309"/>
      <w:r>
        <w:rPr>
          <w:rFonts w:hint="eastAsia" w:ascii="宋体" w:hAnsi="宋体" w:eastAsia="宋体" w:cs="宋体"/>
          <w:b/>
          <w:bCs/>
          <w:color w:val="auto"/>
          <w:sz w:val="24"/>
          <w:szCs w:val="24"/>
          <w:highlight w:val="none"/>
        </w:rPr>
        <w:t>一、参加投标的供应商应具备下列资格条件：</w:t>
      </w:r>
      <w:bookmarkEnd w:id="150"/>
      <w:bookmarkEnd w:id="151"/>
    </w:p>
    <w:p w14:paraId="079D2BF0">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p>
    <w:p w14:paraId="0DE629F8">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1.具有独立承担民事责任的能力；</w:t>
      </w:r>
    </w:p>
    <w:p w14:paraId="7A3EE647">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2.具有良好的商业信誉和健全的财务会计制度；</w:t>
      </w:r>
    </w:p>
    <w:p w14:paraId="7D2B45BB">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3.具有履行合同所必需的设备和专业技术能力；</w:t>
      </w:r>
    </w:p>
    <w:p w14:paraId="22C913BA">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4.有依法缴纳税收和社会保障资金的良好记录；</w:t>
      </w:r>
    </w:p>
    <w:p w14:paraId="317E80C5">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5.参加本次采购活动前三年内，在经营活动中没有重大违法记录；</w:t>
      </w:r>
    </w:p>
    <w:p w14:paraId="473DEAC0">
      <w:pPr>
        <w:spacing w:line="240" w:lineRule="auto"/>
        <w:ind w:left="588"/>
        <w:outlineLvl w:val="9"/>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6.法律、行政法规规定的其他条件。</w:t>
      </w:r>
    </w:p>
    <w:p w14:paraId="5E617FB2">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(二) 本项目不接受联合体投标。</w:t>
      </w:r>
    </w:p>
    <w:p w14:paraId="70733610">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三</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z w:val="24"/>
          <w:szCs w:val="24"/>
          <w:highlight w:val="none"/>
        </w:rPr>
        <w:t>其他类似效力要求：</w:t>
      </w:r>
    </w:p>
    <w:p w14:paraId="27CD8D1E">
      <w:pPr>
        <w:spacing w:line="240" w:lineRule="auto"/>
        <w:ind w:firstLine="504"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授权参加本次采购活动的投标人代表证明材料</w:t>
      </w:r>
      <w:r>
        <w:rPr>
          <w:rFonts w:hint="eastAsia" w:ascii="宋体" w:hAnsi="宋体" w:eastAsia="宋体" w:cs="宋体"/>
          <w:color w:val="auto"/>
          <w:spacing w:val="6"/>
          <w:sz w:val="24"/>
          <w:szCs w:val="24"/>
          <w:highlight w:val="none"/>
          <w:lang w:eastAsia="zh-CN"/>
        </w:rPr>
        <w:t>。</w:t>
      </w:r>
    </w:p>
    <w:p w14:paraId="207CD1DE">
      <w:pPr>
        <w:spacing w:line="240" w:lineRule="auto"/>
        <w:rPr>
          <w:rFonts w:ascii="宋体" w:hAnsi="宋体" w:eastAsia="宋体" w:cs="宋体"/>
          <w:b/>
          <w:bCs/>
          <w:color w:val="auto"/>
          <w:sz w:val="24"/>
          <w:szCs w:val="24"/>
          <w:highlight w:val="none"/>
        </w:rPr>
      </w:pPr>
    </w:p>
    <w:p w14:paraId="581F4FD3">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本章资格要求第 (5款) 中“参加本次采购活动前三年内，在经营活动中没有重大违法记录”中的重大违法记录是指：投标人因违法经营 受到刑事处罚或者责令停产停业、吊销许可证或者执照、较大数额罚款等行政处罚，其中较大数额罚款的具体金额标准以财库〔2022〕3 号文为准，即：认定为200万元以上的罚款，法律、行政法规以及国务院有关部门明确规定相关 领域“较大数额罚款”标准高于200万元的，从其规定。</w:t>
      </w:r>
    </w:p>
    <w:p w14:paraId="62F563C9">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供应商在参加采购活动前，被纳入法院、工商行政管理部门、税务部门、银行认定的失信名单且在有效期内，或者在前三年采购合同履约过程中及其他经营活动履约过程中未依法履约被有关行政部门处罚 (处理)的，本项目不认定其具有良好的商业信誉。</w:t>
      </w:r>
    </w:p>
    <w:p w14:paraId="25A6CD1C">
      <w:pPr>
        <w:spacing w:line="240" w:lineRule="auto"/>
        <w:rPr>
          <w:rFonts w:ascii="宋体" w:hAnsi="宋体" w:eastAsia="宋体" w:cs="宋体"/>
          <w:b/>
          <w:bCs/>
          <w:color w:val="auto"/>
          <w:sz w:val="23"/>
          <w:szCs w:val="23"/>
          <w:highlight w:val="none"/>
        </w:rPr>
      </w:pPr>
      <w:r>
        <w:rPr>
          <w:rFonts w:ascii="宋体" w:hAnsi="宋体" w:eastAsia="宋体" w:cs="宋体"/>
          <w:b/>
          <w:bCs/>
          <w:color w:val="auto"/>
          <w:sz w:val="24"/>
          <w:szCs w:val="24"/>
          <w:highlight w:val="none"/>
        </w:rPr>
        <w:pict>
          <v:shape id="_x0000_s2057" o:spid="_x0000_s2057" o:spt="202" type="#_x0000_t202" style="position:absolute;left:0pt;margin-left:288.1pt;margin-top:772.25pt;height:10.05pt;width:21.1pt;mso-position-horizontal-relative:page;mso-position-vertical-relative:page;z-index:251669504;mso-width-relative:page;mso-height-relative:page;" filled="f" stroked="f" coordsize="21600,21600" o:allowincell="f">
            <v:path/>
            <v:fill on="f" focussize="0,0"/>
            <v:stroke on="f" joinstyle="miter"/>
            <v:imagedata o:title=""/>
            <o:lock v:ext="edit"/>
            <v:textbox inset="0mm,0mm,0mm,0mm">
              <w:txbxContent>
                <w:p w14:paraId="5951451F">
                  <w:pPr>
                    <w:spacing w:before="19" w:line="197" w:lineRule="auto"/>
                    <w:ind w:left="20"/>
                    <w:rPr>
                      <w:rFonts w:ascii="Times New Roman" w:hAnsi="Times New Roman" w:eastAsia="Times New Roman" w:cs="Times New Roman"/>
                      <w:sz w:val="17"/>
                      <w:szCs w:val="17"/>
                    </w:rPr>
                  </w:pPr>
                </w:p>
              </w:txbxContent>
            </v:textbox>
          </v:shape>
        </w:pic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本章要求投标人提供的资格证明材料必须加盖投标人</w:t>
      </w:r>
      <w:r>
        <w:rPr>
          <w:rFonts w:hint="eastAsia" w:ascii="宋体" w:hAnsi="宋体" w:eastAsia="宋体" w:cs="宋体"/>
          <w:b/>
          <w:bCs/>
          <w:color w:val="auto"/>
          <w:sz w:val="24"/>
          <w:szCs w:val="24"/>
          <w:highlight w:val="none"/>
          <w:lang w:val="en-US" w:eastAsia="zh-CN"/>
        </w:rPr>
        <w:t>单位公章</w:t>
      </w:r>
      <w:r>
        <w:rPr>
          <w:rFonts w:hint="eastAsia" w:ascii="宋体" w:hAnsi="宋体" w:eastAsia="宋体" w:cs="宋体"/>
          <w:b/>
          <w:bCs/>
          <w:color w:val="auto"/>
          <w:sz w:val="24"/>
          <w:szCs w:val="24"/>
          <w:highlight w:val="none"/>
        </w:rPr>
        <w:t>。</w:t>
      </w:r>
    </w:p>
    <w:p w14:paraId="4590E9E8">
      <w:pPr>
        <w:spacing w:line="240" w:lineRule="auto"/>
        <w:rPr>
          <w:color w:val="auto"/>
          <w:highlight w:val="none"/>
        </w:rPr>
        <w:sectPr>
          <w:headerReference r:id="rId37" w:type="default"/>
          <w:footerReference r:id="rId38" w:type="default"/>
          <w:pgSz w:w="11905" w:h="16838"/>
          <w:pgMar w:top="1417" w:right="1417" w:bottom="1417" w:left="1417" w:header="0" w:footer="1134" w:gutter="0"/>
          <w:cols w:space="0" w:num="1"/>
        </w:sectPr>
      </w:pPr>
    </w:p>
    <w:p w14:paraId="719AC4E2">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2" w:name="_Toc19967"/>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第五章  投标人应当提供的资格、资质性及其他类似</w:t>
      </w:r>
      <w:bookmarkStart w:id="153" w:name="_Toc2783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效力要求的相关证明材料</w:t>
      </w:r>
      <w:bookmarkEnd w:id="152"/>
      <w:bookmarkEnd w:id="153"/>
    </w:p>
    <w:p w14:paraId="059C2151">
      <w:pPr>
        <w:spacing w:line="240" w:lineRule="auto"/>
        <w:rPr>
          <w:color w:val="auto"/>
          <w:highlight w:val="none"/>
        </w:rPr>
      </w:pPr>
    </w:p>
    <w:p w14:paraId="5A06D908">
      <w:pPr>
        <w:spacing w:line="240" w:lineRule="auto"/>
        <w:rPr>
          <w:color w:val="auto"/>
          <w:highlight w:val="none"/>
        </w:rPr>
      </w:pPr>
    </w:p>
    <w:p w14:paraId="7617DAFE">
      <w:pPr>
        <w:spacing w:line="240" w:lineRule="auto"/>
        <w:outlineLvl w:val="9"/>
        <w:rPr>
          <w:rFonts w:ascii="宋体" w:hAnsi="宋体" w:eastAsia="宋体" w:cs="宋体"/>
          <w:b/>
          <w:bCs/>
          <w:color w:val="auto"/>
          <w:sz w:val="24"/>
          <w:szCs w:val="24"/>
          <w:highlight w:val="none"/>
        </w:rPr>
      </w:pPr>
      <w:bookmarkStart w:id="154" w:name="_Toc487"/>
      <w:bookmarkStart w:id="155" w:name="_Toc23003"/>
      <w:r>
        <w:rPr>
          <w:rFonts w:hint="eastAsia" w:ascii="宋体" w:hAnsi="宋体" w:eastAsia="宋体" w:cs="宋体"/>
          <w:b/>
          <w:bCs/>
          <w:color w:val="auto"/>
          <w:sz w:val="24"/>
          <w:szCs w:val="24"/>
          <w:highlight w:val="none"/>
        </w:rPr>
        <w:t>一、应当提供的供应商资格、资质性及其他类似效力要求的相关证明材料</w:t>
      </w:r>
      <w:bookmarkEnd w:id="154"/>
      <w:bookmarkEnd w:id="155"/>
    </w:p>
    <w:p w14:paraId="30475C7E">
      <w:pPr>
        <w:spacing w:line="240" w:lineRule="auto"/>
        <w:ind w:left="3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r>
        <w:rPr>
          <w:rFonts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w:t>
      </w:r>
    </w:p>
    <w:p w14:paraId="7BAAF466">
      <w:pPr>
        <w:spacing w:line="240" w:lineRule="auto"/>
        <w:ind w:left="22" w:right="94" w:firstLine="3"/>
        <w:outlineLvl w:val="9"/>
        <w:rPr>
          <w:rFonts w:ascii="宋体" w:hAnsi="宋体" w:eastAsia="宋体" w:cs="宋体"/>
          <w:color w:val="auto"/>
          <w:spacing w:val="9"/>
          <w:sz w:val="24"/>
          <w:szCs w:val="24"/>
          <w:highlight w:val="none"/>
        </w:rPr>
      </w:pPr>
      <w:bookmarkStart w:id="156" w:name="_Toc15790"/>
      <w:bookmarkStart w:id="157" w:name="_Toc12679"/>
      <w:r>
        <w:rPr>
          <w:rFonts w:hint="eastAsia"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具有独立承担民事责任的能力：</w:t>
      </w:r>
      <w:bookmarkEnd w:id="156"/>
      <w:bookmarkEnd w:id="157"/>
    </w:p>
    <w:p w14:paraId="009FABC3">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14:paraId="1BBF2880">
      <w:pPr>
        <w:spacing w:line="240" w:lineRule="auto"/>
        <w:ind w:left="22" w:right="94" w:firstLine="3"/>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2</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具有良好的商业信誉和健全的财务会计制度：【①具有健全的财务会计制度的证明材料（投标人自行提供以下任意一种证明材料）：A</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rPr>
        <w:t>可提供202</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年度(含)至今任意一年度经审计的财务报告(包含审计报告和审计报告中所涉及的财务报表和报表附注)；B</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rPr>
        <w:t>也可提供202</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年度(含)至今任意一年度供应商内部的财务报表(至少包含资产负债表) ；C</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rPr>
        <w:t>也可提供截止投标文件递交截止日一年内其基本开户银行出具的资信证明；D</w:t>
      </w:r>
      <w:r>
        <w:rPr>
          <w:rFonts w:hint="eastAsia" w:ascii="宋体" w:hAnsi="宋体" w:eastAsia="宋体" w:cs="宋体"/>
          <w:color w:val="auto"/>
          <w:spacing w:val="9"/>
          <w:sz w:val="24"/>
          <w:szCs w:val="24"/>
          <w:highlight w:val="none"/>
          <w:lang w:val="en-US" w:eastAsia="zh-CN"/>
        </w:rPr>
        <w:t>.投标人</w:t>
      </w:r>
      <w:r>
        <w:rPr>
          <w:rFonts w:hint="eastAsia" w:ascii="宋体" w:hAnsi="宋体" w:eastAsia="宋体" w:cs="宋体"/>
          <w:color w:val="auto"/>
          <w:spacing w:val="9"/>
          <w:sz w:val="24"/>
          <w:szCs w:val="24"/>
          <w:highlight w:val="none"/>
        </w:rPr>
        <w:t>注册时间截止响应文件递交截止日不足一年的，也可提供公司章程；</w:t>
      </w:r>
      <w:r>
        <w:rPr>
          <w:rFonts w:hint="eastAsia" w:ascii="宋体" w:hAnsi="宋体" w:eastAsia="宋体" w:cs="宋体"/>
          <w:color w:val="auto"/>
          <w:spacing w:val="9"/>
          <w:sz w:val="24"/>
          <w:szCs w:val="24"/>
          <w:highlight w:val="none"/>
          <w:lang w:val="en-US" w:eastAsia="zh-CN"/>
        </w:rPr>
        <w:t>E.</w:t>
      </w:r>
      <w:r>
        <w:rPr>
          <w:rFonts w:hint="eastAsia" w:ascii="宋体" w:hAnsi="宋体" w:eastAsia="宋体" w:cs="宋体"/>
          <w:color w:val="auto"/>
          <w:spacing w:val="9"/>
          <w:sz w:val="24"/>
          <w:szCs w:val="24"/>
          <w:highlight w:val="none"/>
        </w:rPr>
        <w:t>自然人可不提供</w:t>
      </w:r>
      <w:r>
        <w:rPr>
          <w:rFonts w:hint="eastAsia" w:ascii="宋体" w:hAnsi="宋体" w:eastAsia="宋体" w:cs="宋体"/>
          <w:color w:val="auto"/>
          <w:spacing w:val="9"/>
          <w:sz w:val="24"/>
          <w:szCs w:val="24"/>
          <w:highlight w:val="none"/>
          <w:lang w:val="en-US" w:eastAsia="zh-CN"/>
        </w:rPr>
        <w:t>;F.也可提供承诺函</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eastAsia="zh-CN"/>
        </w:rPr>
        <w:t>。</w:t>
      </w:r>
    </w:p>
    <w:p w14:paraId="638CAB60">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②具有良好的商业信誉</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提供</w:t>
      </w:r>
      <w:r>
        <w:rPr>
          <w:rFonts w:hint="eastAsia" w:ascii="宋体" w:hAnsi="宋体" w:eastAsia="宋体" w:cs="宋体"/>
          <w:color w:val="auto"/>
          <w:spacing w:val="9"/>
          <w:sz w:val="24"/>
          <w:szCs w:val="24"/>
          <w:highlight w:val="none"/>
        </w:rPr>
        <w:t>承诺函</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p>
    <w:p w14:paraId="699B504E">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具有履行合同所必需的设备和专业技术能力</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提供</w:t>
      </w:r>
      <w:r>
        <w:rPr>
          <w:rFonts w:hint="eastAsia" w:ascii="宋体" w:hAnsi="宋体" w:eastAsia="宋体" w:cs="宋体"/>
          <w:color w:val="auto"/>
          <w:spacing w:val="9"/>
          <w:sz w:val="24"/>
          <w:szCs w:val="24"/>
          <w:highlight w:val="none"/>
        </w:rPr>
        <w:t>承诺函</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p>
    <w:p w14:paraId="01568518">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有依法缴纳税收和社会保障资金的良好记录</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提供以下任意一种证明材料：</w:t>
      </w:r>
      <w:r>
        <w:rPr>
          <w:rFonts w:hint="eastAsia" w:ascii="宋体" w:hAnsi="宋体" w:eastAsia="宋体" w:cs="宋体"/>
          <w:color w:val="auto"/>
          <w:spacing w:val="9"/>
          <w:sz w:val="24"/>
          <w:szCs w:val="24"/>
          <w:highlight w:val="none"/>
          <w:lang w:val="en-US" w:eastAsia="zh-CN"/>
        </w:rPr>
        <w:t>①可提供2024年1月1日至今任意1个月</w:t>
      </w:r>
      <w:r>
        <w:rPr>
          <w:rFonts w:hint="eastAsia" w:ascii="宋体" w:hAnsi="宋体" w:cs="宋体"/>
          <w:color w:val="auto"/>
          <w:sz w:val="24"/>
          <w:szCs w:val="24"/>
          <w:highlight w:val="none"/>
        </w:rPr>
        <w:t>主管部门出具的依法缴纳税收及社会保障资金的发票或银行转账凭证或主管部门出具的证明文件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依法免税或不需要缴纳社保的</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提供相关佐证材料；</w:t>
      </w:r>
      <w:r>
        <w:rPr>
          <w:rFonts w:hint="eastAsia" w:ascii="宋体" w:hAnsi="宋体" w:eastAsia="宋体" w:cs="宋体"/>
          <w:color w:val="auto"/>
          <w:spacing w:val="9"/>
          <w:sz w:val="24"/>
          <w:szCs w:val="24"/>
          <w:highlight w:val="none"/>
        </w:rPr>
        <w:t>③</w:t>
      </w:r>
      <w:r>
        <w:rPr>
          <w:rFonts w:hint="eastAsia" w:ascii="宋体" w:hAnsi="宋体" w:eastAsia="宋体" w:cs="宋体"/>
          <w:color w:val="auto"/>
          <w:sz w:val="24"/>
          <w:szCs w:val="24"/>
          <w:highlight w:val="none"/>
          <w:lang w:val="en-US" w:eastAsia="zh-CN"/>
        </w:rPr>
        <w:t>也可提供承诺函</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p>
    <w:p w14:paraId="4A94C927">
      <w:pPr>
        <w:spacing w:line="240" w:lineRule="auto"/>
        <w:ind w:left="22" w:right="94" w:firstLine="3"/>
        <w:rPr>
          <w:rFonts w:hint="default" w:ascii="宋体" w:hAnsi="宋体" w:eastAsia="宋体" w:cs="宋体"/>
          <w:color w:val="auto"/>
          <w:spacing w:val="9"/>
          <w:sz w:val="24"/>
          <w:szCs w:val="24"/>
          <w:highlight w:val="none"/>
          <w:lang w:val="en-US" w:eastAsia="zh-CN"/>
        </w:rPr>
      </w:pPr>
      <w:r>
        <w:rPr>
          <w:rFonts w:hint="eastAsia" w:ascii="宋体" w:hAnsi="宋体" w:eastAsia="宋体" w:cs="宋体"/>
          <w:color w:val="auto"/>
          <w:spacing w:val="9"/>
          <w:sz w:val="24"/>
          <w:szCs w:val="24"/>
          <w:highlight w:val="none"/>
        </w:rPr>
        <w:t>5</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参加本次采购活动前三年内，在经营活动中没有重大违法记录</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提供承诺函。</w:t>
      </w:r>
    </w:p>
    <w:p w14:paraId="1420B365">
      <w:pPr>
        <w:spacing w:line="240" w:lineRule="auto"/>
        <w:ind w:left="22" w:right="94" w:firstLine="3"/>
        <w:outlineLvl w:val="9"/>
        <w:rPr>
          <w:rFonts w:hint="default" w:ascii="宋体" w:hAnsi="宋体" w:eastAsia="宋体" w:cs="宋体"/>
          <w:color w:val="auto"/>
          <w:spacing w:val="4"/>
          <w:sz w:val="24"/>
          <w:szCs w:val="24"/>
          <w:highlight w:val="none"/>
          <w:lang w:val="en-US" w:eastAsia="zh-CN"/>
        </w:rPr>
      </w:pPr>
      <w:bookmarkStart w:id="158" w:name="_Toc20467"/>
      <w:bookmarkStart w:id="159" w:name="_Toc25527"/>
      <w:r>
        <w:rPr>
          <w:rFonts w:hint="eastAsia" w:ascii="宋体" w:hAnsi="宋体" w:eastAsia="宋体" w:cs="宋体"/>
          <w:color w:val="auto"/>
          <w:spacing w:val="8"/>
          <w:sz w:val="24"/>
          <w:szCs w:val="24"/>
          <w:highlight w:val="none"/>
        </w:rPr>
        <w:t>6</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法律、行政法规规定的其他条件</w:t>
      </w:r>
      <w:bookmarkEnd w:id="158"/>
      <w:bookmarkEnd w:id="159"/>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提供承诺函。</w:t>
      </w:r>
    </w:p>
    <w:p w14:paraId="648C15F4">
      <w:pPr>
        <w:spacing w:line="240" w:lineRule="auto"/>
        <w:ind w:left="24" w:right="96" w:firstLine="1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其他类似效力要求相关证明材料：</w:t>
      </w:r>
    </w:p>
    <w:p w14:paraId="5FBB3A53">
      <w:pPr>
        <w:spacing w:line="240" w:lineRule="auto"/>
        <w:ind w:left="28"/>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法定代表人/单位负责人身份证明书及有效身份证明材料复印件并加盖投标人公章（法定代表人/单位负责人参加投标时提供）；</w:t>
      </w:r>
    </w:p>
    <w:p w14:paraId="798933BD">
      <w:pPr>
        <w:spacing w:line="240" w:lineRule="auto"/>
        <w:ind w:left="2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.法定代表人/单位负责人有效身份证明材料复印件及授权委托书和授权代表有效身份证明材料复印件并加盖投标人公章（委托代理人参加投标时提供）。</w:t>
      </w:r>
    </w:p>
    <w:p w14:paraId="3B2A2CE9">
      <w:pPr>
        <w:spacing w:line="240" w:lineRule="auto"/>
        <w:rPr>
          <w:color w:val="auto"/>
          <w:sz w:val="24"/>
          <w:szCs w:val="24"/>
          <w:highlight w:val="none"/>
        </w:rPr>
      </w:pPr>
    </w:p>
    <w:p w14:paraId="41776359">
      <w:pPr>
        <w:spacing w:line="240" w:lineRule="auto"/>
        <w:ind w:left="23" w:right="96" w:firstLine="4"/>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本章要求投标人提供的资格证明材料必须加盖投标人</w:t>
      </w:r>
      <w:r>
        <w:rPr>
          <w:rFonts w:hint="eastAsia" w:ascii="宋体" w:hAnsi="宋体" w:eastAsia="宋体" w:cs="宋体"/>
          <w:b/>
          <w:bCs/>
          <w:color w:val="auto"/>
          <w:sz w:val="24"/>
          <w:szCs w:val="24"/>
          <w:highlight w:val="none"/>
          <w:lang w:val="en-US" w:eastAsia="zh-CN"/>
        </w:rPr>
        <w:t>单位公章</w:t>
      </w:r>
      <w:r>
        <w:rPr>
          <w:rFonts w:hint="eastAsia" w:ascii="宋体" w:hAnsi="宋体" w:eastAsia="宋体" w:cs="宋体"/>
          <w:b/>
          <w:bCs/>
          <w:color w:val="auto"/>
          <w:sz w:val="24"/>
          <w:szCs w:val="24"/>
          <w:highlight w:val="none"/>
        </w:rPr>
        <w:t>。</w:t>
      </w:r>
    </w:p>
    <w:p w14:paraId="70C521C0">
      <w:pPr>
        <w:spacing w:line="240" w:lineRule="auto"/>
        <w:ind w:left="23" w:right="96" w:firstLine="4"/>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投标人应对其所提供的资格证明材料的来源的合法性、真实性负责。</w:t>
      </w:r>
    </w:p>
    <w:p w14:paraId="33FE1BF2">
      <w:pPr>
        <w:spacing w:line="240" w:lineRule="auto"/>
        <w:rPr>
          <w:color w:val="auto"/>
          <w:highlight w:val="none"/>
        </w:rPr>
        <w:sectPr>
          <w:headerReference r:id="rId39" w:type="default"/>
          <w:footerReference r:id="rId40" w:type="default"/>
          <w:pgSz w:w="11905" w:h="16838"/>
          <w:pgMar w:top="1417" w:right="1417" w:bottom="1417" w:left="1417" w:header="0" w:footer="1134" w:gutter="0"/>
          <w:cols w:space="0" w:num="1"/>
        </w:sectPr>
      </w:pPr>
    </w:p>
    <w:p w14:paraId="55185769">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0" w:name="_Toc1117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第六章 招标项目技术、服务及商务要求</w:t>
      </w:r>
      <w:bookmarkEnd w:id="160"/>
    </w:p>
    <w:p w14:paraId="03E81F06">
      <w:pPr>
        <w:spacing w:line="240" w:lineRule="auto"/>
        <w:ind w:firstLine="480"/>
        <w:rPr>
          <w:rFonts w:asciiTheme="minorEastAsia" w:hAnsiTheme="minorEastAsia" w:eastAsiaTheme="minorEastAsia"/>
          <w:color w:val="auto"/>
          <w:szCs w:val="24"/>
          <w:highlight w:val="none"/>
        </w:rPr>
      </w:pPr>
    </w:p>
    <w:p w14:paraId="44907C5E">
      <w:pPr>
        <w:keepNext/>
        <w:keepLines/>
        <w:pageBreakBefore w:val="0"/>
        <w:widowControl w:val="0"/>
        <w:numPr>
          <w:ilvl w:val="0"/>
          <w:numId w:val="0"/>
        </w:numPr>
        <w:kinsoku w:val="0"/>
        <w:wordWrap/>
        <w:overflowPunct/>
        <w:topLinePunct w:val="0"/>
        <w:autoSpaceDE w:val="0"/>
        <w:autoSpaceDN w:val="0"/>
        <w:bidi w:val="0"/>
        <w:adjustRightInd w:val="0"/>
        <w:snapToGrid w:val="0"/>
        <w:spacing w:line="240" w:lineRule="auto"/>
        <w:ind w:left="-210" w:leftChars="0" w:firstLine="420" w:firstLineChars="0"/>
        <w:textAlignment w:val="baseline"/>
        <w:outlineLvl w:val="1"/>
        <w:rPr>
          <w:rFonts w:ascii="宋体" w:hAnsi="宋体" w:eastAsia="宋体" w:cs="Times New Roman"/>
          <w:b/>
          <w:bCs/>
          <w:color w:val="auto"/>
          <w:kern w:val="44"/>
          <w:sz w:val="24"/>
          <w:szCs w:val="24"/>
          <w:highlight w:val="none"/>
        </w:rPr>
      </w:pPr>
      <w:bookmarkStart w:id="161" w:name="_Toc16655"/>
      <w:bookmarkStart w:id="162" w:name="_Toc213"/>
      <w:r>
        <w:rPr>
          <w:rFonts w:hint="eastAsia" w:ascii="宋体" w:hAnsi="宋体" w:eastAsia="宋体" w:cs="Times New Roman"/>
          <w:b/>
          <w:bCs/>
          <w:snapToGrid w:val="0"/>
          <w:color w:val="auto"/>
          <w:kern w:val="44"/>
          <w:sz w:val="24"/>
          <w:szCs w:val="24"/>
          <w:highlight w:val="none"/>
          <w:lang w:val="en-US" w:eastAsia="zh-CN" w:bidi="ar-SA"/>
        </w:rPr>
        <w:t>一、</w:t>
      </w:r>
      <w:r>
        <w:rPr>
          <w:rFonts w:hint="eastAsia" w:ascii="宋体" w:hAnsi="宋体" w:eastAsia="宋体" w:cs="Times New Roman"/>
          <w:b/>
          <w:bCs/>
          <w:color w:val="auto"/>
          <w:kern w:val="44"/>
          <w:sz w:val="24"/>
          <w:szCs w:val="24"/>
          <w:highlight w:val="none"/>
        </w:rPr>
        <w:t>项目概况</w:t>
      </w:r>
      <w:bookmarkEnd w:id="161"/>
      <w:bookmarkEnd w:id="162"/>
    </w:p>
    <w:p w14:paraId="315DEE96">
      <w:pPr>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采购人新都校区食堂面积约为1060㎡；现该校区在校师生规模约750人。本项目拟采购一名投标人，负责新都校区食堂经营和日常管理，为新都校区师生提供安全卫生营养的三餐服务。</w:t>
      </w:r>
    </w:p>
    <w:p w14:paraId="33012F60">
      <w:pPr>
        <w:spacing w:line="240" w:lineRule="auto"/>
        <w:ind w:left="24" w:right="13" w:firstLine="471"/>
        <w:rPr>
          <w:sz w:val="24"/>
          <w:szCs w:val="24"/>
          <w:highlight w:val="none"/>
        </w:rPr>
      </w:pPr>
    </w:p>
    <w:p w14:paraId="2715041F">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eastAsia" w:ascii="宋体" w:hAnsi="宋体" w:eastAsia="宋体" w:cs="Times New Roman"/>
          <w:b/>
          <w:bCs/>
          <w:color w:val="auto"/>
          <w:kern w:val="44"/>
          <w:sz w:val="24"/>
          <w:szCs w:val="24"/>
          <w:highlight w:val="none"/>
        </w:rPr>
      </w:pPr>
      <w:bookmarkStart w:id="163" w:name="_Toc2085"/>
      <w:r>
        <w:rPr>
          <w:rFonts w:hint="eastAsia" w:ascii="宋体" w:hAnsi="宋体" w:eastAsia="宋体" w:cs="Times New Roman"/>
          <w:b/>
          <w:bCs/>
          <w:snapToGrid w:val="0"/>
          <w:color w:val="auto"/>
          <w:kern w:val="44"/>
          <w:sz w:val="24"/>
          <w:szCs w:val="24"/>
          <w:highlight w:val="none"/>
          <w:lang w:val="en-US" w:eastAsia="zh-CN" w:bidi="ar-SA"/>
        </w:rPr>
        <w:t>二、</w:t>
      </w:r>
      <w:bookmarkEnd w:id="163"/>
      <w:r>
        <w:rPr>
          <w:rFonts w:hint="eastAsia" w:ascii="宋体" w:hAnsi="宋体" w:eastAsia="宋体" w:cs="Times New Roman"/>
          <w:b/>
          <w:bCs/>
          <w:color w:val="auto"/>
          <w:kern w:val="44"/>
          <w:sz w:val="24"/>
          <w:szCs w:val="24"/>
          <w:highlight w:val="none"/>
        </w:rPr>
        <w:t>技术</w:t>
      </w:r>
      <w:r>
        <w:rPr>
          <w:rFonts w:hint="eastAsia" w:ascii="宋体" w:hAnsi="宋体" w:eastAsia="宋体" w:cs="Times New Roman"/>
          <w:b/>
          <w:bCs/>
          <w:color w:val="auto"/>
          <w:kern w:val="44"/>
          <w:sz w:val="24"/>
          <w:szCs w:val="24"/>
          <w:highlight w:val="none"/>
          <w:lang w:val="en-US" w:eastAsia="zh-CN"/>
        </w:rPr>
        <w:t>服务</w:t>
      </w:r>
      <w:r>
        <w:rPr>
          <w:rFonts w:hint="eastAsia" w:ascii="宋体" w:hAnsi="宋体" w:eastAsia="宋体" w:cs="Times New Roman"/>
          <w:b/>
          <w:bCs/>
          <w:color w:val="auto"/>
          <w:kern w:val="44"/>
          <w:sz w:val="24"/>
          <w:szCs w:val="24"/>
          <w:highlight w:val="none"/>
        </w:rPr>
        <w:t>要求</w:t>
      </w:r>
    </w:p>
    <w:p w14:paraId="28EF5A91">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default" w:ascii="宋体" w:hAnsi="宋体" w:eastAsia="宋体" w:cs="Times New Roman"/>
          <w:b/>
          <w:bCs/>
          <w:color w:val="auto"/>
          <w:kern w:val="44"/>
          <w:sz w:val="24"/>
          <w:szCs w:val="24"/>
          <w:highlight w:val="none"/>
          <w:lang w:val="en-US" w:eastAsia="zh-CN"/>
        </w:rPr>
      </w:pPr>
      <w:r>
        <w:rPr>
          <w:rFonts w:hint="eastAsia"/>
          <w:highlight w:val="none"/>
        </w:rPr>
        <w:t>★</w:t>
      </w:r>
      <w:r>
        <w:rPr>
          <w:rFonts w:hint="eastAsia" w:ascii="宋体" w:hAnsi="宋体" w:eastAsia="宋体" w:cs="Times New Roman"/>
          <w:b/>
          <w:bCs/>
          <w:color w:val="auto"/>
          <w:kern w:val="44"/>
          <w:sz w:val="24"/>
          <w:szCs w:val="24"/>
          <w:highlight w:val="none"/>
          <w:lang w:val="en-US" w:eastAsia="zh-CN"/>
        </w:rPr>
        <w:t>1.技术要求（功能和质量要求）</w:t>
      </w:r>
    </w:p>
    <w:tbl>
      <w:tblPr>
        <w:tblStyle w:val="1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96"/>
        <w:gridCol w:w="6561"/>
      </w:tblGrid>
      <w:tr w14:paraId="5F6B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5" w:type="dxa"/>
            <w:noWrap w:val="0"/>
            <w:vAlign w:val="center"/>
          </w:tcPr>
          <w:p w14:paraId="08BAE1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kern w:val="2"/>
                <w:sz w:val="24"/>
                <w:szCs w:val="24"/>
                <w:highlight w:val="none"/>
                <w:lang w:val="en-US" w:eastAsia="zh-CN" w:bidi="ar-SA"/>
              </w:rPr>
            </w:pPr>
            <w:r>
              <w:rPr>
                <w:rFonts w:hint="eastAsia" w:ascii="宋体" w:hAnsi="宋体" w:eastAsia="宋体" w:cs="宋体"/>
                <w:b/>
                <w:bCs w:val="0"/>
                <w:i w:val="0"/>
                <w:iCs w:val="0"/>
                <w:color w:val="auto"/>
                <w:sz w:val="24"/>
                <w:szCs w:val="24"/>
                <w:highlight w:val="none"/>
              </w:rPr>
              <w:t>序号</w:t>
            </w:r>
          </w:p>
        </w:tc>
        <w:tc>
          <w:tcPr>
            <w:tcW w:w="1596" w:type="dxa"/>
            <w:noWrap w:val="0"/>
            <w:vAlign w:val="center"/>
          </w:tcPr>
          <w:p w14:paraId="3ACA0F3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kern w:val="2"/>
                <w:sz w:val="24"/>
                <w:szCs w:val="24"/>
                <w:highlight w:val="none"/>
                <w:lang w:val="en-US" w:eastAsia="zh-CN" w:bidi="ar-SA"/>
              </w:rPr>
            </w:pPr>
            <w:r>
              <w:rPr>
                <w:rFonts w:hint="eastAsia" w:ascii="宋体" w:hAnsi="宋体" w:eastAsia="宋体" w:cs="宋体"/>
                <w:b/>
                <w:bCs w:val="0"/>
                <w:i w:val="0"/>
                <w:iCs w:val="0"/>
                <w:color w:val="auto"/>
                <w:sz w:val="24"/>
                <w:szCs w:val="24"/>
                <w:highlight w:val="none"/>
              </w:rPr>
              <w:t>标的名称</w:t>
            </w:r>
          </w:p>
        </w:tc>
        <w:tc>
          <w:tcPr>
            <w:tcW w:w="6561" w:type="dxa"/>
            <w:noWrap w:val="0"/>
            <w:vAlign w:val="center"/>
          </w:tcPr>
          <w:p w14:paraId="33BBA45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服务内容及要求</w:t>
            </w:r>
          </w:p>
        </w:tc>
      </w:tr>
      <w:tr w14:paraId="09E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5" w:type="dxa"/>
            <w:noWrap w:val="0"/>
            <w:vAlign w:val="center"/>
          </w:tcPr>
          <w:p w14:paraId="3F4E55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1</w:t>
            </w:r>
          </w:p>
        </w:tc>
        <w:tc>
          <w:tcPr>
            <w:tcW w:w="1596" w:type="dxa"/>
            <w:noWrap w:val="0"/>
            <w:vAlign w:val="center"/>
          </w:tcPr>
          <w:p w14:paraId="7E9488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Cs/>
                <w:color w:val="auto"/>
                <w:sz w:val="24"/>
                <w:szCs w:val="24"/>
                <w:highlight w:val="none"/>
                <w:u w:val="none"/>
                <w:lang w:eastAsia="zh-CN"/>
              </w:rPr>
              <w:t>成都市技师学院</w:t>
            </w:r>
            <w:r>
              <w:rPr>
                <w:rFonts w:hint="eastAsia" w:ascii="宋体" w:hAnsi="宋体" w:eastAsia="宋体" w:cs="宋体"/>
                <w:bCs/>
                <w:color w:val="auto"/>
                <w:sz w:val="24"/>
                <w:szCs w:val="24"/>
                <w:highlight w:val="none"/>
                <w:u w:val="none"/>
                <w:lang w:val="en-US" w:eastAsia="zh-CN"/>
              </w:rPr>
              <w:t>2025年秋季至2028年春季</w:t>
            </w:r>
            <w:r>
              <w:rPr>
                <w:rFonts w:hint="eastAsia" w:ascii="宋体" w:hAnsi="宋体" w:eastAsia="宋体" w:cs="宋体"/>
                <w:bCs/>
                <w:color w:val="auto"/>
                <w:sz w:val="24"/>
                <w:szCs w:val="24"/>
                <w:highlight w:val="none"/>
                <w:u w:val="none"/>
                <w:lang w:eastAsia="zh-CN"/>
              </w:rPr>
              <w:t>新都校区食堂经营服务采购项目</w:t>
            </w:r>
            <w:r>
              <w:rPr>
                <w:rFonts w:hint="eastAsia" w:ascii="宋体" w:hAnsi="宋体" w:eastAsia="宋体" w:cs="宋体"/>
                <w:bCs/>
                <w:color w:val="auto"/>
                <w:sz w:val="24"/>
                <w:szCs w:val="24"/>
                <w:highlight w:val="none"/>
                <w:u w:val="none"/>
              </w:rPr>
              <w:t xml:space="preserve"> </w:t>
            </w:r>
          </w:p>
        </w:tc>
        <w:tc>
          <w:tcPr>
            <w:tcW w:w="6561" w:type="dxa"/>
            <w:noWrap w:val="0"/>
            <w:vAlign w:val="center"/>
          </w:tcPr>
          <w:p w14:paraId="7303B95C">
            <w:pPr>
              <w:keepNext w:val="0"/>
              <w:keepLines w:val="0"/>
              <w:pageBreakBefore w:val="0"/>
              <w:widowControl w:val="0"/>
              <w:numPr>
                <w:ilvl w:val="0"/>
                <w:numId w:val="0"/>
              </w:numPr>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1.经营管理要求:</w:t>
            </w:r>
          </w:p>
          <w:p w14:paraId="7D37EF4E">
            <w:pPr>
              <w:keepNext w:val="0"/>
              <w:keepLines w:val="0"/>
              <w:pageBreakBefore w:val="0"/>
              <w:widowControl w:val="0"/>
              <w:numPr>
                <w:ilvl w:val="0"/>
                <w:numId w:val="0"/>
              </w:numPr>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负责新都食堂的日常管理及经营，必须严格按照国家、省、市、地方及校方对学校食品卫生安全的法律、法规、规章、制度、相关规定及招标文件、项目合同要求和公益性和非营利性原则开展食堂管理经营工作，对所经营的食堂工作负全面责任，其法定代表人是食品卫生安全的第一责任人，经营盈亏自负。</w:t>
            </w:r>
          </w:p>
          <w:p w14:paraId="22A4F184">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2.标准执行要求：</w:t>
            </w:r>
          </w:p>
          <w:p w14:paraId="3549C79E">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投标人严格按照《中华人民共和国食品安全法》《餐饮服务食品安全操作规范》《学校食品安全与健康管理规定》《成都市技师学院 成都工贸职业技术学院食品安全管理办法》等相关规章制度和上级文件精神执行。</w:t>
            </w:r>
          </w:p>
          <w:p w14:paraId="0CE46007">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3.制度要求：</w:t>
            </w:r>
          </w:p>
          <w:p w14:paraId="6C3295CB">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应建立食品安全管理相关制度，包括但不限于采购索证索票、进货查验、仓储管理、加工制作、售卖服务、清洗消毒、食品添加剂管理、食品留样、餐厨废弃物处置管理、从业人员健康管理、投诉受理等相关制度，应急预案及工作流程。</w:t>
            </w:r>
          </w:p>
          <w:p w14:paraId="1EE87C26">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4.服务要求：</w:t>
            </w:r>
          </w:p>
          <w:p w14:paraId="03C88A11">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（1）服务质量、菜品质量、供餐时间受采购人及市场监督部门的监管。</w:t>
            </w:r>
          </w:p>
          <w:p w14:paraId="0568F2D1">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（2）因投标人自身原因造成的安全事故（包括但不限于食品卫生安全事故、消防安全事故、生产安全事故、公共安全事故等）由投标人自行负责。</w:t>
            </w:r>
          </w:p>
          <w:p w14:paraId="3B892ADA">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jc w:val="left"/>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（说明：投标人提供承诺函并加盖投标人公章。）</w:t>
            </w:r>
          </w:p>
          <w:p w14:paraId="5AD6723B">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5.基本运营费用要求：</w:t>
            </w:r>
          </w:p>
          <w:p w14:paraId="52E459EE">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经营期间产生的水、电、气、餐厨垃圾及厨余清运、隔油池清掏、抽排系统清洗、“灭四害”等费用由投标人承担，其中水、电、气费用标准按当地物价部门核定标准执行，并在月底结清当月实际产生的水、电、气相关费用。</w:t>
            </w:r>
          </w:p>
          <w:p w14:paraId="3512F003">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6.经营产品价格要求：</w:t>
            </w:r>
          </w:p>
          <w:p w14:paraId="7AEA657B">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（1）投标人经营的饭菜应实行明码标价并接受采购人指导监督。</w:t>
            </w:r>
          </w:p>
          <w:p w14:paraId="2656C90F">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（2）所售产品售卖价格不得高于同期校区周边同类、同质、同量产品市场价。</w:t>
            </w:r>
          </w:p>
          <w:p w14:paraId="117833C4">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（3）所售产品的品种、质量、价格须提交采购人进行审核同意及备案后方可执行。</w:t>
            </w:r>
          </w:p>
          <w:p w14:paraId="4FF06D40">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（4）设置学生保障套餐窗口，价格控制在一荤一素6元/份（含汤、含饭，数量不限）；学生窗口应实现菜品多样化，秉承“薄利多销”的原则，以满足学生的就餐需求。</w:t>
            </w:r>
          </w:p>
          <w:p w14:paraId="5D3DA924">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7.常规工作要求：</w:t>
            </w:r>
          </w:p>
          <w:p w14:paraId="10324740">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需做好原材料统采工作，如实准确完整记录食品进货查验等信息，保证食材可追溯；采购食材应当按照安全、健康、符合事实、符合营养健康需要的原则进行采购，所有资料需完整并永久保存，随时备查。</w:t>
            </w:r>
          </w:p>
          <w:p w14:paraId="16542D1A">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（2）投标人须积极配合、自觉主动地接受当地食品药品监督管理部门、卫生行政部门、教育行政部门、学校和餐饮行业的监督、指导与管理。</w:t>
            </w:r>
          </w:p>
          <w:p w14:paraId="0CF733B9">
            <w:pPr>
              <w:keepNext w:val="0"/>
              <w:keepLines w:val="0"/>
              <w:pageBreakBefore w:val="0"/>
              <w:widowControl w:val="0"/>
              <w:numPr>
                <w:ilvl w:val="0"/>
                <w:numId w:val="0"/>
              </w:numPr>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投标人须建立出入库管理台账和索票索证制度；严格执行食品加工流程；销售食品要符合卫生规范；销售食品成品要实行留样制度，必须严格按照留样相关规定执行；食堂不允许加工出售凉菜；不允许加工出售豆角、野生菌、豆浆、发芽青皮土豆等国家相关部门和学校不允许出售的食（菜）品，防止食品卫生安全事故发生。</w:t>
            </w:r>
          </w:p>
          <w:p w14:paraId="031CBC5A">
            <w:pPr>
              <w:keepNext w:val="0"/>
              <w:keepLines w:val="0"/>
              <w:pageBreakBefore w:val="0"/>
              <w:widowControl w:val="0"/>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（4）投标人须建立学生食堂食品卫生安全、消防安全工作管理制度和岗位责任制度，明确相关责任人。落实日常食品卫生安全、消防安全管理工作检查制度，消除隐患，做好检查、巡检记录和存档。</w:t>
            </w:r>
          </w:p>
          <w:p w14:paraId="78970676">
            <w:pPr>
              <w:keepNext w:val="0"/>
              <w:keepLines w:val="0"/>
              <w:pageBreakBefore w:val="0"/>
              <w:widowControl w:val="0"/>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（5）投标人</w:t>
            </w:r>
            <w:r>
              <w:rPr>
                <w:rFonts w:hint="eastAsia" w:ascii="宋体" w:hAnsi="宋体" w:eastAsia="宋体" w:cs="宋体"/>
                <w:color w:val="000000"/>
                <w:kern w:val="0"/>
                <w:sz w:val="24"/>
                <w:szCs w:val="24"/>
                <w:highlight w:val="none"/>
              </w:rPr>
              <w:t>须在用餐场所公示</w:t>
            </w:r>
            <w:r>
              <w:rPr>
                <w:rFonts w:hint="eastAsia" w:ascii="宋体" w:hAnsi="宋体" w:eastAsia="宋体" w:cs="宋体"/>
                <w:color w:val="000000"/>
                <w:kern w:val="0"/>
                <w:sz w:val="24"/>
                <w:szCs w:val="24"/>
                <w:highlight w:val="none"/>
                <w:lang w:eastAsia="zh-CN"/>
              </w:rPr>
              <w:t>食堂供货商信息、餐具消毒记录、晨检记录、人员健康证等资料</w:t>
            </w:r>
            <w:r>
              <w:rPr>
                <w:rFonts w:hint="eastAsia" w:ascii="宋体" w:hAnsi="宋体" w:eastAsia="宋体" w:cs="宋体"/>
                <w:color w:val="000000"/>
                <w:kern w:val="0"/>
                <w:sz w:val="24"/>
                <w:szCs w:val="24"/>
                <w:highlight w:val="none"/>
                <w:lang w:val="en-US" w:eastAsia="zh-CN" w:bidi="ar-SA"/>
              </w:rPr>
              <w:t>，接受师生监督，对待陪餐工作中的问题及意见建议，进行认真整改。</w:t>
            </w:r>
          </w:p>
          <w:p w14:paraId="5D7B3F16">
            <w:pPr>
              <w:keepNext w:val="0"/>
              <w:keepLines w:val="0"/>
              <w:pageBreakBefore w:val="0"/>
              <w:widowControl w:val="0"/>
              <w:tabs>
                <w:tab w:val="left" w:pos="0"/>
              </w:tabs>
              <w:kinsoku/>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（6）投标人针对突发性公共事件（含学生群体事件）、火灾事故、断水断电、突发设施设备异常或故障、“公共卫生事件”等，须提前做好应急处置预案并报采购人备案。</w:t>
            </w:r>
          </w:p>
          <w:p w14:paraId="1724C7A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投标人按照社会劳动保障部门的有关规定，负责员工聘用、管理、工资、福利、劳保、社保及工伤事故善后处理，所有员工均须体检合格持有有效期内健康证上岗。投标人的工作人员薪资不得低于当地最低薪酬标准，员工在职期间，投标人应为员工购买劳动法规定的各项保险。</w:t>
            </w:r>
          </w:p>
          <w:p w14:paraId="48C3FE1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（8）投标人负责处理与本项目驻场员工发生的劳资纠纷、工伤鉴定、费用垫付、保险理赔等事宜，且承担相应的法律责任，均与采购人无关。</w:t>
            </w:r>
            <w:r>
              <w:rPr>
                <w:rFonts w:hint="eastAsia" w:ascii="宋体" w:hAnsi="宋体" w:eastAsia="宋体" w:cs="宋体"/>
                <w:b/>
                <w:bCs/>
                <w:color w:val="000000"/>
                <w:kern w:val="0"/>
                <w:sz w:val="24"/>
                <w:szCs w:val="24"/>
                <w:highlight w:val="none"/>
                <w:lang w:val="en-US" w:eastAsia="zh-CN" w:bidi="ar-SA"/>
              </w:rPr>
              <w:t>（说明：投标人须提供承诺函并加盖公章）</w:t>
            </w:r>
          </w:p>
          <w:p w14:paraId="5ADF744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r>
              <w:rPr>
                <w:rFonts w:hint="eastAsia" w:ascii="宋体" w:hAnsi="宋体" w:eastAsia="宋体" w:cs="宋体"/>
                <w:b/>
                <w:bCs/>
                <w:color w:val="000000"/>
                <w:kern w:val="0"/>
                <w:sz w:val="24"/>
                <w:szCs w:val="24"/>
                <w:highlight w:val="none"/>
                <w:lang w:val="en-US" w:eastAsia="zh-CN" w:bidi="ar-SA"/>
              </w:rPr>
              <w:t>（说明：投标人须提供承诺函并加盖公章）</w:t>
            </w:r>
          </w:p>
          <w:p w14:paraId="2848242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（10）任何情况下，投标人不得私自停餐、推委临时安排的工作餐和假期餐饮服务及工作值班。</w:t>
            </w:r>
          </w:p>
          <w:p w14:paraId="2DA3478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（11）投标人定期开展灭四害工作，每学期至少聘请一次专业公司对食堂抽排系统进行彻底清洗。</w:t>
            </w:r>
          </w:p>
          <w:p w14:paraId="75CD2AB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8.安全要求：</w:t>
            </w:r>
          </w:p>
          <w:p w14:paraId="4BB5E2E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（1）投标人须确保水电气的使用安全，因自身操作不当引发的安全事故由投标人独立承担全部法律责任和经济赔偿责任。</w:t>
            </w:r>
          </w:p>
          <w:p w14:paraId="3F5A58D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（2）投标人须确保食品卫生安全，因自身管理和经营不当造成的食品卫生安全事故由投标人独立承担全部法律责任和经济赔偿责任。</w:t>
            </w:r>
          </w:p>
          <w:p w14:paraId="201DD52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（3）投标人须确保就餐或配送人员的人身、财产安全，因投标人原因造成其他人身意外伤害、财产损失，由投标人独立承担全部法律责任和经济赔偿责任。</w:t>
            </w:r>
          </w:p>
        </w:tc>
      </w:tr>
    </w:tbl>
    <w:p w14:paraId="787FE36F">
      <w:pPr>
        <w:adjustRightInd w:val="0"/>
        <w:snapToGrid w:val="0"/>
        <w:spacing w:line="400" w:lineRule="exact"/>
        <w:ind w:firstLine="480" w:firstLineChars="200"/>
        <w:jc w:val="left"/>
        <w:rPr>
          <w:rFonts w:hint="eastAsia" w:ascii="宋体" w:hAnsi="宋体" w:eastAsia="宋体" w:cs="宋体"/>
          <w:b/>
          <w:sz w:val="24"/>
          <w:szCs w:val="24"/>
          <w:highlight w:val="none"/>
        </w:rPr>
      </w:pPr>
      <w:bookmarkStart w:id="164" w:name="_Toc6794"/>
      <w:bookmarkStart w:id="165" w:name="_Toc30142"/>
      <w:r>
        <w:rPr>
          <w:rFonts w:hint="eastAsia" w:ascii="宋体" w:hAnsi="宋体" w:eastAsia="宋体" w:cs="宋体"/>
          <w:sz w:val="24"/>
          <w:szCs w:val="24"/>
          <w:highlight w:val="none"/>
        </w:rPr>
        <w:t>★</w:t>
      </w:r>
      <w:r>
        <w:rPr>
          <w:rFonts w:hint="eastAsia" w:ascii="宋体" w:hAnsi="宋体" w:eastAsia="宋体" w:cs="宋体"/>
          <w:b/>
          <w:sz w:val="24"/>
          <w:szCs w:val="24"/>
          <w:highlight w:val="none"/>
        </w:rPr>
        <w:t>2.人员配置要求</w:t>
      </w:r>
      <w:r>
        <w:rPr>
          <w:rFonts w:hint="eastAsia" w:ascii="宋体" w:hAnsi="宋体" w:eastAsia="宋体" w:cs="宋体"/>
          <w:bCs/>
          <w:sz w:val="24"/>
          <w:szCs w:val="24"/>
          <w:highlight w:val="none"/>
        </w:rPr>
        <w:t>（人数、专业、证书等要求）</w:t>
      </w:r>
      <w:r>
        <w:rPr>
          <w:rFonts w:hint="eastAsia" w:ascii="宋体" w:hAnsi="宋体" w:eastAsia="宋体" w:cs="宋体"/>
          <w:b/>
          <w:sz w:val="24"/>
          <w:szCs w:val="24"/>
          <w:highlight w:val="none"/>
        </w:rPr>
        <w:t>：</w:t>
      </w:r>
    </w:p>
    <w:tbl>
      <w:tblPr>
        <w:tblStyle w:val="18"/>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38"/>
        <w:gridCol w:w="846"/>
        <w:gridCol w:w="2484"/>
        <w:gridCol w:w="3996"/>
      </w:tblGrid>
      <w:tr w14:paraId="5EBA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36" w:type="pct"/>
            <w:noWrap w:val="0"/>
            <w:vAlign w:val="center"/>
          </w:tcPr>
          <w:p w14:paraId="2A736E0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类 别</w:t>
            </w:r>
          </w:p>
        </w:tc>
        <w:tc>
          <w:tcPr>
            <w:tcW w:w="627" w:type="pct"/>
            <w:noWrap w:val="0"/>
            <w:vAlign w:val="center"/>
          </w:tcPr>
          <w:p w14:paraId="32B678B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职务</w:t>
            </w:r>
          </w:p>
        </w:tc>
        <w:tc>
          <w:tcPr>
            <w:tcW w:w="466" w:type="pct"/>
            <w:noWrap w:val="0"/>
            <w:vAlign w:val="center"/>
          </w:tcPr>
          <w:p w14:paraId="27CB5B4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人数</w:t>
            </w:r>
          </w:p>
        </w:tc>
        <w:tc>
          <w:tcPr>
            <w:tcW w:w="1368" w:type="pct"/>
            <w:noWrap w:val="0"/>
            <w:vAlign w:val="center"/>
          </w:tcPr>
          <w:p w14:paraId="6F78CDB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人员要求</w:t>
            </w:r>
          </w:p>
        </w:tc>
        <w:tc>
          <w:tcPr>
            <w:tcW w:w="2201" w:type="pct"/>
            <w:noWrap w:val="0"/>
            <w:vAlign w:val="center"/>
          </w:tcPr>
          <w:p w14:paraId="07CEC0F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岗位职责</w:t>
            </w:r>
          </w:p>
        </w:tc>
      </w:tr>
      <w:tr w14:paraId="5E9D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36" w:type="pct"/>
            <w:vMerge w:val="restart"/>
            <w:noWrap w:val="0"/>
            <w:vAlign w:val="center"/>
          </w:tcPr>
          <w:p w14:paraId="7E1D3A7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管理人员</w:t>
            </w:r>
          </w:p>
        </w:tc>
        <w:tc>
          <w:tcPr>
            <w:tcW w:w="627" w:type="pct"/>
            <w:noWrap w:val="0"/>
            <w:vAlign w:val="center"/>
          </w:tcPr>
          <w:p w14:paraId="4DC298B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驻场经理</w:t>
            </w:r>
          </w:p>
        </w:tc>
        <w:tc>
          <w:tcPr>
            <w:tcW w:w="466" w:type="pct"/>
            <w:noWrap w:val="0"/>
            <w:vAlign w:val="center"/>
          </w:tcPr>
          <w:p w14:paraId="03D24A3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1人</w:t>
            </w:r>
          </w:p>
        </w:tc>
        <w:tc>
          <w:tcPr>
            <w:tcW w:w="1368" w:type="pct"/>
            <w:noWrap w:val="0"/>
            <w:vAlign w:val="center"/>
          </w:tcPr>
          <w:p w14:paraId="20A90FB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具有同行业餐饮管理工作经验3年以上，负责餐厅全面管理经营工作。具有餐饮经营管理能力且运营管理能力强，有管理前瞻性，会不断创新，抗压及接受能力强。具备高中(中专)以上文化程度或中级厨师（</w:t>
            </w:r>
            <w:r>
              <w:rPr>
                <w:rFonts w:hint="eastAsia" w:ascii="宋体" w:hAnsi="宋体" w:eastAsia="宋体" w:cs="宋体"/>
                <w:color w:val="000000"/>
                <w:kern w:val="0"/>
                <w:sz w:val="24"/>
                <w:szCs w:val="24"/>
                <w:highlight w:val="none"/>
              </w:rPr>
              <w:t>职业技能等级证书</w:t>
            </w:r>
            <w:r>
              <w:rPr>
                <w:rFonts w:hint="eastAsia" w:ascii="宋体" w:hAnsi="宋体" w:eastAsia="宋体" w:cs="宋体"/>
                <w:color w:val="000000"/>
                <w:kern w:val="0"/>
                <w:sz w:val="24"/>
                <w:szCs w:val="24"/>
                <w:highlight w:val="none"/>
                <w:lang w:val="en-US" w:eastAsia="zh-CN"/>
              </w:rPr>
              <w:t>四级</w:t>
            </w:r>
            <w:r>
              <w:rPr>
                <w:rFonts w:hint="eastAsia" w:ascii="宋体" w:hAnsi="宋体" w:eastAsia="宋体" w:cs="宋体"/>
                <w:color w:val="000000"/>
                <w:kern w:val="0"/>
                <w:sz w:val="24"/>
                <w:szCs w:val="24"/>
                <w:highlight w:val="none"/>
                <w:lang w:val="en-US" w:eastAsia="zh-CN" w:bidi="ar-SA"/>
              </w:rPr>
              <w:t>）及以上等级证书，且具有餐饮经营管理能力。</w:t>
            </w:r>
          </w:p>
        </w:tc>
        <w:tc>
          <w:tcPr>
            <w:tcW w:w="2201" w:type="pct"/>
            <w:noWrap w:val="0"/>
            <w:vAlign w:val="center"/>
          </w:tcPr>
          <w:p w14:paraId="7E1D2A4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1.负责管理食堂工作，认真执行食品安全相关法律法规，确保食堂正常工作秩序。</w:t>
            </w:r>
          </w:p>
          <w:p w14:paraId="2F550B9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2.认真贯彻执行学校及公司规章制度，落实措施及操作流程，确保食品安全，实现工作目标，全面完成各项工作。</w:t>
            </w:r>
          </w:p>
          <w:p w14:paraId="1D19E2D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3.协调好各种关系，做好食堂应急处置工作。</w:t>
            </w:r>
          </w:p>
        </w:tc>
      </w:tr>
      <w:tr w14:paraId="2738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336" w:type="pct"/>
            <w:vMerge w:val="continue"/>
            <w:noWrap w:val="0"/>
            <w:vAlign w:val="center"/>
          </w:tcPr>
          <w:p w14:paraId="6B98C6B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72F740E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厨师长</w:t>
            </w:r>
          </w:p>
        </w:tc>
        <w:tc>
          <w:tcPr>
            <w:tcW w:w="466" w:type="pct"/>
            <w:noWrap w:val="0"/>
            <w:vAlign w:val="center"/>
          </w:tcPr>
          <w:p w14:paraId="5177F4C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1人</w:t>
            </w:r>
          </w:p>
        </w:tc>
        <w:tc>
          <w:tcPr>
            <w:tcW w:w="1368" w:type="pct"/>
            <w:noWrap w:val="0"/>
            <w:vAlign w:val="center"/>
          </w:tcPr>
          <w:p w14:paraId="32BEF49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具有厨房管理工作经验3年</w:t>
            </w:r>
            <w:r>
              <w:rPr>
                <w:rFonts w:hint="eastAsia" w:ascii="宋体" w:hAnsi="宋体" w:eastAsia="宋体" w:cs="宋体"/>
                <w:snapToGrid w:val="0"/>
                <w:sz w:val="24"/>
                <w:szCs w:val="24"/>
                <w:highlight w:val="none"/>
                <w:lang w:eastAsia="zh-CN"/>
              </w:rPr>
              <w:t>及</w:t>
            </w:r>
            <w:r>
              <w:rPr>
                <w:rFonts w:hint="eastAsia" w:ascii="宋体" w:hAnsi="宋体" w:eastAsia="宋体" w:cs="宋体"/>
                <w:snapToGrid w:val="0"/>
                <w:sz w:val="24"/>
                <w:szCs w:val="24"/>
                <w:highlight w:val="none"/>
              </w:rPr>
              <w:t>以上</w:t>
            </w:r>
            <w:r>
              <w:rPr>
                <w:rFonts w:hint="eastAsia" w:ascii="宋体" w:hAnsi="宋体" w:eastAsia="宋体" w:cs="宋体"/>
                <w:snapToGrid w:val="0"/>
                <w:sz w:val="24"/>
                <w:szCs w:val="24"/>
                <w:highlight w:val="none"/>
                <w:lang w:eastAsia="zh-CN"/>
              </w:rPr>
              <w:t>和</w:t>
            </w:r>
            <w:r>
              <w:rPr>
                <w:rFonts w:hint="eastAsia" w:ascii="宋体" w:hAnsi="宋体" w:eastAsia="宋体" w:cs="宋体"/>
                <w:snapToGrid w:val="0"/>
                <w:sz w:val="24"/>
                <w:szCs w:val="24"/>
                <w:highlight w:val="none"/>
              </w:rPr>
              <w:t>同行业团膳餐饮工作经验3年</w:t>
            </w:r>
            <w:r>
              <w:rPr>
                <w:rFonts w:hint="eastAsia" w:ascii="宋体" w:hAnsi="宋体" w:eastAsia="宋体" w:cs="宋体"/>
                <w:snapToGrid w:val="0"/>
                <w:sz w:val="24"/>
                <w:szCs w:val="24"/>
                <w:highlight w:val="none"/>
                <w:lang w:eastAsia="zh-CN"/>
              </w:rPr>
              <w:t>及</w:t>
            </w:r>
            <w:r>
              <w:rPr>
                <w:rFonts w:hint="eastAsia" w:ascii="宋体" w:hAnsi="宋体" w:eastAsia="宋体" w:cs="宋体"/>
                <w:snapToGrid w:val="0"/>
                <w:sz w:val="24"/>
                <w:szCs w:val="24"/>
                <w:highlight w:val="none"/>
              </w:rPr>
              <w:t>以上，具备中式烹饪师职业资格高级(职业技能等级证书三级)及以上资格，且具备高中(中专)及以上学历。</w:t>
            </w:r>
          </w:p>
        </w:tc>
        <w:tc>
          <w:tcPr>
            <w:tcW w:w="2201" w:type="pct"/>
            <w:noWrap w:val="0"/>
            <w:vAlign w:val="center"/>
          </w:tcPr>
          <w:p w14:paraId="1E920A4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1.严格遵守食品安全相关法律法规，搞好厨房卫生，保证过期、三无、质量异常食材不流向餐桌，防止食物中毒。</w:t>
            </w:r>
          </w:p>
          <w:p w14:paraId="7F7B9A8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2.负责食堂内生产安全隐患排查及整改工作。</w:t>
            </w:r>
          </w:p>
          <w:p w14:paraId="30409ED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3.定期了解食堂师生就餐情况及意见，不断研制、开发新菜品。</w:t>
            </w:r>
          </w:p>
          <w:p w14:paraId="617CB06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4.对食堂菜品质量现场把关、指导。</w:t>
            </w:r>
          </w:p>
        </w:tc>
      </w:tr>
      <w:tr w14:paraId="75B1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noWrap w:val="0"/>
            <w:vAlign w:val="center"/>
          </w:tcPr>
          <w:p w14:paraId="537E06A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技</w:t>
            </w:r>
            <w:r>
              <w:rPr>
                <w:rFonts w:hint="eastAsia" w:ascii="宋体" w:hAnsi="宋体" w:eastAsia="宋体" w:cs="宋体"/>
                <w:snapToGrid w:val="0"/>
                <w:sz w:val="24"/>
                <w:szCs w:val="24"/>
                <w:highlight w:val="none"/>
                <w:lang w:val="en-US" w:eastAsia="zh-CN"/>
              </w:rPr>
              <w:t>技</w:t>
            </w:r>
            <w:r>
              <w:rPr>
                <w:rFonts w:hint="eastAsia" w:ascii="宋体" w:hAnsi="宋体" w:eastAsia="宋体" w:cs="宋体"/>
                <w:snapToGrid w:val="0"/>
                <w:sz w:val="24"/>
                <w:szCs w:val="24"/>
                <w:highlight w:val="none"/>
              </w:rPr>
              <w:t>术人员</w:t>
            </w:r>
          </w:p>
        </w:tc>
        <w:tc>
          <w:tcPr>
            <w:tcW w:w="627" w:type="pct"/>
            <w:noWrap w:val="0"/>
            <w:vAlign w:val="center"/>
          </w:tcPr>
          <w:p w14:paraId="641AC7C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napToGrid w:val="0"/>
                <w:sz w:val="24"/>
                <w:szCs w:val="24"/>
                <w:highlight w:val="none"/>
              </w:rPr>
              <w:t>食品安全总监</w:t>
            </w:r>
            <w:r>
              <w:rPr>
                <w:rFonts w:hint="eastAsia" w:ascii="宋体" w:hAnsi="宋体" w:eastAsia="宋体" w:cs="宋体"/>
                <w:snapToGrid w:val="0"/>
                <w:sz w:val="24"/>
                <w:szCs w:val="24"/>
                <w:highlight w:val="none"/>
                <w:lang w:eastAsia="zh-CN"/>
              </w:rPr>
              <w:t>（兼）</w:t>
            </w:r>
          </w:p>
        </w:tc>
        <w:tc>
          <w:tcPr>
            <w:tcW w:w="466" w:type="pct"/>
            <w:noWrap w:val="0"/>
            <w:vAlign w:val="center"/>
          </w:tcPr>
          <w:p w14:paraId="101784B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1人</w:t>
            </w:r>
          </w:p>
        </w:tc>
        <w:tc>
          <w:tcPr>
            <w:tcW w:w="1368" w:type="pct"/>
            <w:noWrap w:val="0"/>
            <w:vAlign w:val="center"/>
          </w:tcPr>
          <w:p w14:paraId="0E7997E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具备有效食品安全员证书，</w:t>
            </w:r>
            <w:r>
              <w:rPr>
                <w:rFonts w:hint="eastAsia" w:ascii="宋体" w:hAnsi="宋体" w:eastAsia="宋体" w:cs="宋体"/>
                <w:snapToGrid w:val="0"/>
                <w:sz w:val="24"/>
                <w:szCs w:val="24"/>
                <w:highlight w:val="none"/>
                <w:lang w:eastAsia="zh-CN"/>
              </w:rPr>
              <w:t>大专</w:t>
            </w:r>
            <w:r>
              <w:rPr>
                <w:rFonts w:hint="eastAsia" w:ascii="宋体" w:hAnsi="宋体" w:eastAsia="宋体" w:cs="宋体"/>
                <w:snapToGrid w:val="0"/>
                <w:sz w:val="24"/>
                <w:szCs w:val="24"/>
                <w:highlight w:val="none"/>
              </w:rPr>
              <w:t>及以上学历。</w:t>
            </w:r>
          </w:p>
        </w:tc>
        <w:tc>
          <w:tcPr>
            <w:tcW w:w="2201" w:type="pct"/>
            <w:noWrap w:val="0"/>
            <w:vAlign w:val="center"/>
          </w:tcPr>
          <w:p w14:paraId="2DF393B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1.组织拟定食品安全管理制度，督促落实食品安全责任制，明确食品安全方面责任要求。</w:t>
            </w:r>
          </w:p>
          <w:p w14:paraId="4F1ACE3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2.组织拟定并督促落实食品安全风险防控措施，定期组织食品安全自查，评估食品安全状况，阻止、纠正食品安全违法行为。</w:t>
            </w:r>
          </w:p>
          <w:p w14:paraId="22D34F4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3.组织拟定食品安全事故处置方案，开展应急演练，组织开展职工食品安全教育、培训、考核。</w:t>
            </w:r>
          </w:p>
          <w:p w14:paraId="6F2717E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4.每周至少组织1次风险隐患排查，形成《食品安全周排查治理报告》。</w:t>
            </w:r>
          </w:p>
        </w:tc>
      </w:tr>
      <w:tr w14:paraId="4323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14:paraId="50BB15C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1C0AFD2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食品安全员</w:t>
            </w:r>
          </w:p>
        </w:tc>
        <w:tc>
          <w:tcPr>
            <w:tcW w:w="466" w:type="pct"/>
            <w:noWrap w:val="0"/>
            <w:vAlign w:val="center"/>
          </w:tcPr>
          <w:p w14:paraId="094D2D0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1</w:t>
            </w:r>
            <w:r>
              <w:rPr>
                <w:rFonts w:hint="eastAsia" w:ascii="宋体" w:hAnsi="宋体" w:eastAsia="宋体" w:cs="宋体"/>
                <w:snapToGrid w:val="0"/>
                <w:sz w:val="24"/>
                <w:szCs w:val="24"/>
                <w:highlight w:val="none"/>
              </w:rPr>
              <w:t>人</w:t>
            </w:r>
          </w:p>
        </w:tc>
        <w:tc>
          <w:tcPr>
            <w:tcW w:w="1368" w:type="pct"/>
            <w:noWrap w:val="0"/>
            <w:vAlign w:val="center"/>
          </w:tcPr>
          <w:p w14:paraId="5DDEC00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餐厅食品安全管控及培训工作，从业经历2年以上，具备有效食品安全员证书，且</w:t>
            </w:r>
            <w:r>
              <w:rPr>
                <w:rFonts w:hint="eastAsia" w:ascii="宋体" w:hAnsi="宋体" w:eastAsia="宋体" w:cs="宋体"/>
                <w:snapToGrid w:val="0"/>
                <w:sz w:val="24"/>
                <w:szCs w:val="24"/>
                <w:highlight w:val="none"/>
                <w:lang w:val="en-US" w:eastAsia="zh-CN"/>
              </w:rPr>
              <w:t>具有</w:t>
            </w:r>
            <w:r>
              <w:rPr>
                <w:rFonts w:hint="eastAsia" w:ascii="宋体" w:hAnsi="宋体" w:eastAsia="宋体" w:cs="宋体"/>
                <w:snapToGrid w:val="0"/>
                <w:sz w:val="24"/>
                <w:szCs w:val="24"/>
                <w:highlight w:val="none"/>
              </w:rPr>
              <w:t>高中(中专)及以上学历。</w:t>
            </w:r>
          </w:p>
        </w:tc>
        <w:tc>
          <w:tcPr>
            <w:tcW w:w="2201" w:type="pct"/>
            <w:noWrap w:val="0"/>
            <w:vAlign w:val="center"/>
          </w:tcPr>
          <w:p w14:paraId="73481A5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1.每日督促落实食品加工制作出售过程相关要求，每日根据风险防控清单进行检查，形成《每日食品安全检查记录》。</w:t>
            </w:r>
          </w:p>
          <w:p w14:paraId="370F8E0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2.协助食品安全总监落实各项食品安全风险防控措施，评估措施实施效果，阻止、纠正食品安全违法行为。</w:t>
            </w:r>
          </w:p>
        </w:tc>
      </w:tr>
      <w:tr w14:paraId="3F48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6" w:type="pct"/>
            <w:vMerge w:val="continue"/>
            <w:noWrap w:val="0"/>
            <w:vAlign w:val="center"/>
          </w:tcPr>
          <w:p w14:paraId="4909079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6B8BE66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营</w:t>
            </w:r>
            <w:r>
              <w:rPr>
                <w:rFonts w:hint="eastAsia" w:ascii="宋体" w:hAnsi="宋体" w:eastAsia="宋体" w:cs="宋体"/>
                <w:snapToGrid w:val="0"/>
                <w:sz w:val="24"/>
                <w:szCs w:val="24"/>
                <w:highlight w:val="none"/>
                <w:lang w:val="en-US" w:eastAsia="zh-CN"/>
              </w:rPr>
              <w:t>养</w:t>
            </w:r>
            <w:r>
              <w:rPr>
                <w:rFonts w:hint="eastAsia" w:ascii="宋体" w:hAnsi="宋体" w:eastAsia="宋体" w:cs="宋体"/>
                <w:snapToGrid w:val="0"/>
                <w:sz w:val="24"/>
                <w:szCs w:val="24"/>
                <w:highlight w:val="none"/>
              </w:rPr>
              <w:t>师</w:t>
            </w:r>
          </w:p>
          <w:p w14:paraId="78BD44D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（兼）</w:t>
            </w:r>
          </w:p>
        </w:tc>
        <w:tc>
          <w:tcPr>
            <w:tcW w:w="466" w:type="pct"/>
            <w:noWrap w:val="0"/>
            <w:vAlign w:val="center"/>
          </w:tcPr>
          <w:p w14:paraId="5045E9A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1人</w:t>
            </w:r>
          </w:p>
        </w:tc>
        <w:tc>
          <w:tcPr>
            <w:tcW w:w="1368" w:type="pct"/>
            <w:noWrap w:val="0"/>
            <w:vAlign w:val="center"/>
          </w:tcPr>
          <w:p w14:paraId="54006C5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具备三级</w:t>
            </w:r>
            <w:r>
              <w:rPr>
                <w:rFonts w:hint="eastAsia" w:ascii="宋体" w:hAnsi="宋体" w:eastAsia="宋体" w:cs="宋体"/>
                <w:sz w:val="24"/>
                <w:szCs w:val="24"/>
                <w:highlight w:val="none"/>
                <w:lang w:val="en-US" w:eastAsia="zh-CN"/>
              </w:rPr>
              <w:t>及</w:t>
            </w:r>
            <w:r>
              <w:rPr>
                <w:rFonts w:hint="eastAsia" w:ascii="宋体" w:hAnsi="宋体" w:eastAsia="宋体" w:cs="宋体"/>
                <w:snapToGrid w:val="0"/>
                <w:sz w:val="24"/>
                <w:szCs w:val="24"/>
                <w:highlight w:val="none"/>
              </w:rPr>
              <w:t>以上</w:t>
            </w:r>
            <w:r>
              <w:rPr>
                <w:rFonts w:hint="eastAsia" w:ascii="宋体" w:hAnsi="宋体" w:eastAsia="宋体" w:cs="宋体"/>
                <w:snapToGrid w:val="0"/>
                <w:sz w:val="24"/>
                <w:szCs w:val="24"/>
                <w:highlight w:val="none"/>
                <w:lang w:val="en-US" w:eastAsia="zh-CN"/>
              </w:rPr>
              <w:t>公共</w:t>
            </w:r>
            <w:r>
              <w:rPr>
                <w:rFonts w:hint="eastAsia" w:ascii="宋体" w:hAnsi="宋体" w:eastAsia="宋体" w:cs="宋体"/>
                <w:snapToGrid w:val="0"/>
                <w:sz w:val="24"/>
                <w:szCs w:val="24"/>
                <w:highlight w:val="none"/>
              </w:rPr>
              <w:t>营养师资格证书，且</w:t>
            </w:r>
            <w:r>
              <w:rPr>
                <w:rFonts w:hint="eastAsia" w:ascii="宋体" w:hAnsi="宋体" w:eastAsia="宋体" w:cs="宋体"/>
                <w:snapToGrid w:val="0"/>
                <w:sz w:val="24"/>
                <w:szCs w:val="24"/>
                <w:highlight w:val="none"/>
                <w:lang w:val="en-US" w:eastAsia="zh-CN"/>
              </w:rPr>
              <w:t>具有</w:t>
            </w:r>
            <w:r>
              <w:rPr>
                <w:rFonts w:hint="eastAsia" w:ascii="宋体" w:hAnsi="宋体" w:eastAsia="宋体" w:cs="宋体"/>
                <w:snapToGrid w:val="0"/>
                <w:sz w:val="24"/>
                <w:szCs w:val="24"/>
                <w:highlight w:val="none"/>
              </w:rPr>
              <w:t>高中（中专）及以上学历。</w:t>
            </w:r>
          </w:p>
        </w:tc>
        <w:tc>
          <w:tcPr>
            <w:tcW w:w="2201" w:type="pct"/>
            <w:noWrap w:val="0"/>
            <w:vAlign w:val="center"/>
          </w:tcPr>
          <w:p w14:paraId="11CC718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1.根据我校师生情况，制定健康</w:t>
            </w:r>
            <w:r>
              <w:rPr>
                <w:rFonts w:hint="eastAsia" w:ascii="宋体" w:hAnsi="宋体" w:eastAsia="宋体" w:cs="宋体"/>
                <w:snapToGrid w:val="0"/>
                <w:sz w:val="24"/>
                <w:szCs w:val="24"/>
                <w:highlight w:val="none"/>
                <w:lang w:eastAsia="zh-CN"/>
              </w:rPr>
              <w:t>营养</w:t>
            </w:r>
            <w:r>
              <w:rPr>
                <w:rFonts w:hint="eastAsia" w:ascii="宋体" w:hAnsi="宋体" w:eastAsia="宋体" w:cs="宋体"/>
                <w:snapToGrid w:val="0"/>
                <w:sz w:val="24"/>
                <w:szCs w:val="24"/>
                <w:highlight w:val="none"/>
              </w:rPr>
              <w:t>食谱。</w:t>
            </w:r>
          </w:p>
          <w:p w14:paraId="3D2DD3D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w:t>
            </w:r>
            <w:r>
              <w:rPr>
                <w:rFonts w:hint="eastAsia" w:ascii="宋体" w:hAnsi="宋体" w:eastAsia="宋体" w:cs="宋体"/>
                <w:snapToGrid w:val="0"/>
                <w:sz w:val="24"/>
                <w:szCs w:val="24"/>
                <w:highlight w:val="none"/>
                <w:lang w:eastAsia="zh-CN"/>
              </w:rPr>
              <w:t>宣传健康营养知识</w:t>
            </w:r>
            <w:r>
              <w:rPr>
                <w:rFonts w:hint="eastAsia" w:ascii="宋体" w:hAnsi="宋体" w:eastAsia="宋体" w:cs="宋体"/>
                <w:snapToGrid w:val="0"/>
                <w:sz w:val="24"/>
                <w:szCs w:val="24"/>
                <w:highlight w:val="none"/>
              </w:rPr>
              <w:t>。</w:t>
            </w:r>
          </w:p>
        </w:tc>
      </w:tr>
      <w:tr w14:paraId="67A0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6" w:type="pct"/>
            <w:vMerge w:val="continue"/>
            <w:noWrap w:val="0"/>
            <w:vAlign w:val="center"/>
          </w:tcPr>
          <w:p w14:paraId="7CB819A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134E3F5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库管(兼)</w:t>
            </w:r>
          </w:p>
          <w:p w14:paraId="782BA390">
            <w:pPr>
              <w:pStyle w:val="4"/>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p>
        </w:tc>
        <w:tc>
          <w:tcPr>
            <w:tcW w:w="466" w:type="pct"/>
            <w:noWrap w:val="0"/>
            <w:vAlign w:val="center"/>
          </w:tcPr>
          <w:p w14:paraId="216E149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1人</w:t>
            </w:r>
          </w:p>
        </w:tc>
        <w:tc>
          <w:tcPr>
            <w:tcW w:w="1368" w:type="pct"/>
            <w:noWrap w:val="0"/>
            <w:vAlign w:val="center"/>
          </w:tcPr>
          <w:p w14:paraId="350281E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具备高中（中专）及以上学历。</w:t>
            </w:r>
          </w:p>
        </w:tc>
        <w:tc>
          <w:tcPr>
            <w:tcW w:w="2201" w:type="pct"/>
            <w:noWrap w:val="0"/>
            <w:vAlign w:val="center"/>
          </w:tcPr>
          <w:p w14:paraId="7BB6D8B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1.恪守规定，对入库原料进行查收，对不合格的原料拒绝接受。对入库、出库物质进行详尽登记，并做好每个月清点工作，对库内物质做到成竹在胸，物质搁置有序。</w:t>
            </w:r>
          </w:p>
          <w:p w14:paraId="5A4D9D9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2.贯彻落实食品安全相关法律法规，做好库房“三防”工作，对腐化、变质食品实时上报清理，防备因库管工作不细，出现食品中毒。</w:t>
            </w:r>
          </w:p>
        </w:tc>
      </w:tr>
      <w:tr w14:paraId="1750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6" w:type="pct"/>
            <w:vMerge w:val="continue"/>
            <w:noWrap w:val="0"/>
            <w:vAlign w:val="center"/>
          </w:tcPr>
          <w:p w14:paraId="12FE46A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4CF7D42C">
            <w:pPr>
              <w:pStyle w:val="4"/>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 w:val="0"/>
                <w:bCs/>
                <w:snapToGrid w:val="0"/>
                <w:sz w:val="24"/>
                <w:szCs w:val="24"/>
                <w:highlight w:val="none"/>
                <w:lang w:eastAsia="zh-CN"/>
              </w:rPr>
              <w:t>厨师</w:t>
            </w:r>
          </w:p>
        </w:tc>
        <w:tc>
          <w:tcPr>
            <w:tcW w:w="466" w:type="pct"/>
            <w:noWrap w:val="0"/>
            <w:vAlign w:val="center"/>
          </w:tcPr>
          <w:p w14:paraId="0B8D014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eastAsia="zh-CN"/>
              </w:rPr>
              <w:t>不少于</w:t>
            </w:r>
            <w:r>
              <w:rPr>
                <w:rFonts w:hint="eastAsia" w:ascii="宋体" w:hAnsi="宋体" w:eastAsia="宋体" w:cs="宋体"/>
                <w:snapToGrid w:val="0"/>
                <w:sz w:val="24"/>
                <w:szCs w:val="24"/>
                <w:highlight w:val="none"/>
                <w:lang w:val="en-US" w:eastAsia="zh-CN"/>
              </w:rPr>
              <w:t>2</w:t>
            </w:r>
            <w:r>
              <w:rPr>
                <w:rFonts w:hint="eastAsia" w:ascii="宋体" w:hAnsi="宋体" w:eastAsia="宋体" w:cs="宋体"/>
                <w:snapToGrid w:val="0"/>
                <w:sz w:val="24"/>
                <w:szCs w:val="24"/>
                <w:highlight w:val="none"/>
                <w:lang w:eastAsia="zh-CN"/>
              </w:rPr>
              <w:t>人</w:t>
            </w:r>
          </w:p>
        </w:tc>
        <w:tc>
          <w:tcPr>
            <w:tcW w:w="1368" w:type="pct"/>
            <w:noWrap w:val="0"/>
            <w:vAlign w:val="center"/>
          </w:tcPr>
          <w:p w14:paraId="7D782DB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有</w:t>
            </w:r>
            <w:r>
              <w:rPr>
                <w:rFonts w:hint="eastAsia" w:ascii="宋体" w:hAnsi="宋体" w:eastAsia="宋体" w:cs="宋体"/>
                <w:snapToGrid w:val="0"/>
                <w:sz w:val="24"/>
                <w:szCs w:val="24"/>
                <w:highlight w:val="none"/>
                <w:lang w:eastAsia="zh-CN"/>
              </w:rPr>
              <w:t>食堂烹饪</w:t>
            </w:r>
            <w:r>
              <w:rPr>
                <w:rFonts w:hint="eastAsia" w:ascii="宋体" w:hAnsi="宋体" w:eastAsia="宋体" w:cs="宋体"/>
                <w:snapToGrid w:val="0"/>
                <w:sz w:val="24"/>
                <w:szCs w:val="24"/>
                <w:highlight w:val="none"/>
              </w:rPr>
              <w:t>工作经验3年以上，责任心强，</w:t>
            </w:r>
            <w:r>
              <w:rPr>
                <w:rFonts w:hint="eastAsia" w:ascii="宋体" w:hAnsi="宋体" w:eastAsia="宋体" w:cs="宋体"/>
                <w:snapToGrid w:val="0"/>
                <w:sz w:val="24"/>
                <w:szCs w:val="24"/>
                <w:highlight w:val="none"/>
                <w:lang w:eastAsia="zh-CN"/>
              </w:rPr>
              <w:t>具备中式烹饪师初级（</w:t>
            </w:r>
            <w:r>
              <w:rPr>
                <w:rFonts w:hint="eastAsia" w:ascii="宋体" w:hAnsi="宋体" w:eastAsia="宋体" w:cs="宋体"/>
                <w:snapToGrid w:val="0"/>
                <w:sz w:val="24"/>
                <w:szCs w:val="24"/>
                <w:highlight w:val="none"/>
              </w:rPr>
              <w:t>职业技能等级证书</w:t>
            </w:r>
            <w:r>
              <w:rPr>
                <w:rFonts w:hint="eastAsia" w:ascii="宋体" w:hAnsi="宋体" w:eastAsia="宋体" w:cs="宋体"/>
                <w:snapToGrid w:val="0"/>
                <w:sz w:val="24"/>
                <w:szCs w:val="24"/>
                <w:highlight w:val="none"/>
                <w:lang w:eastAsia="zh-CN"/>
              </w:rPr>
              <w:t>五级）及以上资格，</w:t>
            </w:r>
            <w:r>
              <w:rPr>
                <w:rFonts w:hint="eastAsia" w:ascii="宋体" w:hAnsi="宋体" w:eastAsia="宋体" w:cs="宋体"/>
                <w:snapToGrid w:val="0"/>
                <w:sz w:val="24"/>
                <w:szCs w:val="24"/>
                <w:highlight w:val="none"/>
              </w:rPr>
              <w:t>善于开发新菜品。</w:t>
            </w:r>
          </w:p>
        </w:tc>
        <w:tc>
          <w:tcPr>
            <w:tcW w:w="2201" w:type="pct"/>
            <w:noWrap w:val="0"/>
            <w:vAlign w:val="center"/>
          </w:tcPr>
          <w:p w14:paraId="44C403B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1.服从工作安排，严格遵守操作程序。</w:t>
            </w:r>
          </w:p>
          <w:p w14:paraId="1408969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2.加工菜肴必须做到无泥沙、无虫、无草、无黄叶烂叶和其他杂物。投料保证新鲜，在烹调、分装过程中防止污染。热菜菜品出锅时中心温度达到75℃以上。</w:t>
            </w:r>
          </w:p>
          <w:p w14:paraId="474BE88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3.菜盆、盛器等必须清洗干净，按规定使用。</w:t>
            </w:r>
          </w:p>
          <w:p w14:paraId="79460F8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4.每餐售余的成品、半成品，妥善处理，安全存放。</w:t>
            </w:r>
          </w:p>
          <w:p w14:paraId="43FD964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5.注意个人卫生，积极落实卫生岗位责任制，保证饮食卫生，防止食物中毒。</w:t>
            </w:r>
          </w:p>
          <w:p w14:paraId="35CB526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6.注意搞好防火工作，安全使用燃气，防止火灾。</w:t>
            </w:r>
          </w:p>
        </w:tc>
      </w:tr>
      <w:tr w14:paraId="1C78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14:paraId="6C1A1D8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0E93BF9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eastAsia="zh-CN"/>
              </w:rPr>
              <w:t>面点师</w:t>
            </w:r>
          </w:p>
        </w:tc>
        <w:tc>
          <w:tcPr>
            <w:tcW w:w="466" w:type="pct"/>
            <w:noWrap w:val="0"/>
            <w:vAlign w:val="center"/>
          </w:tcPr>
          <w:p w14:paraId="4EC540F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1人</w:t>
            </w:r>
          </w:p>
        </w:tc>
        <w:tc>
          <w:tcPr>
            <w:tcW w:w="1368" w:type="pct"/>
            <w:noWrap w:val="0"/>
            <w:vAlign w:val="center"/>
          </w:tcPr>
          <w:p w14:paraId="529C143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有面点制作2年以上工作经验者优先，负责特色面食的制作和开发。</w:t>
            </w:r>
          </w:p>
        </w:tc>
        <w:tc>
          <w:tcPr>
            <w:tcW w:w="2201" w:type="pct"/>
            <w:noWrap w:val="0"/>
            <w:vAlign w:val="center"/>
          </w:tcPr>
          <w:p w14:paraId="313B8CE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val="en-US" w:eastAsia="zh-CN"/>
              </w:rPr>
              <w:t>1.</w:t>
            </w:r>
            <w:r>
              <w:rPr>
                <w:rFonts w:hint="eastAsia" w:ascii="宋体" w:hAnsi="宋体" w:eastAsia="宋体" w:cs="宋体"/>
                <w:snapToGrid w:val="0"/>
                <w:sz w:val="24"/>
                <w:szCs w:val="24"/>
                <w:highlight w:val="none"/>
              </w:rPr>
              <w:t>服从工作安排，严格遵守操作程序。</w:t>
            </w:r>
          </w:p>
          <w:p w14:paraId="3E38DBB3">
            <w:pPr>
              <w:pStyle w:val="2"/>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2.规范使用食品添加剂，不得超范围、超量使用。</w:t>
            </w:r>
          </w:p>
          <w:p w14:paraId="05D75CE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3.注意个人卫生，积极落实卫生岗位责任制，保证饮食卫生，防止食物中毒。</w:t>
            </w:r>
          </w:p>
          <w:p w14:paraId="6024749D">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sz w:val="24"/>
                <w:szCs w:val="24"/>
                <w:highlight w:val="none"/>
              </w:rPr>
            </w:pPr>
            <w:r>
              <w:rPr>
                <w:rFonts w:hint="eastAsia" w:ascii="宋体" w:hAnsi="宋体" w:eastAsia="宋体" w:cs="宋体"/>
                <w:snapToGrid w:val="0"/>
                <w:kern w:val="2"/>
                <w:sz w:val="24"/>
                <w:szCs w:val="24"/>
                <w:highlight w:val="none"/>
                <w:lang w:val="en-US" w:eastAsia="zh-CN" w:bidi="ar-SA"/>
              </w:rPr>
              <w:t>4.注意搞好防火工作，安全使用燃气，防止火灾。</w:t>
            </w:r>
          </w:p>
        </w:tc>
      </w:tr>
      <w:tr w14:paraId="7490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noWrap w:val="0"/>
            <w:vAlign w:val="center"/>
          </w:tcPr>
          <w:p w14:paraId="1F2758F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eastAsia="zh-CN"/>
              </w:rPr>
              <w:t>其他工作</w:t>
            </w:r>
            <w:r>
              <w:rPr>
                <w:rFonts w:hint="eastAsia" w:ascii="宋体" w:hAnsi="宋体" w:eastAsia="宋体" w:cs="宋体"/>
                <w:snapToGrid w:val="0"/>
                <w:sz w:val="24"/>
                <w:szCs w:val="24"/>
                <w:highlight w:val="none"/>
              </w:rPr>
              <w:t>人员</w:t>
            </w:r>
          </w:p>
        </w:tc>
        <w:tc>
          <w:tcPr>
            <w:tcW w:w="627" w:type="pct"/>
            <w:noWrap w:val="0"/>
            <w:vAlign w:val="center"/>
          </w:tcPr>
          <w:p w14:paraId="1292A1E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服务员</w:t>
            </w:r>
          </w:p>
        </w:tc>
        <w:tc>
          <w:tcPr>
            <w:tcW w:w="466" w:type="pct"/>
            <w:noWrap w:val="0"/>
            <w:vAlign w:val="center"/>
          </w:tcPr>
          <w:p w14:paraId="67D424D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2人</w:t>
            </w:r>
          </w:p>
        </w:tc>
        <w:tc>
          <w:tcPr>
            <w:tcW w:w="1368" w:type="pct"/>
            <w:noWrap w:val="0"/>
            <w:vAlign w:val="center"/>
          </w:tcPr>
          <w:p w14:paraId="2F63452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eastAsia="zh-CN"/>
              </w:rPr>
              <w:t>有 3年 以上本质工作经验,踏实、责任心强,工作态度好;餐厅服务工作及协助接待工作。</w:t>
            </w:r>
          </w:p>
        </w:tc>
        <w:tc>
          <w:tcPr>
            <w:tcW w:w="2201" w:type="pct"/>
            <w:noWrap w:val="0"/>
            <w:vAlign w:val="center"/>
          </w:tcPr>
          <w:p w14:paraId="06496EB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1.熟练掌握食堂的菜品、价格等信息。</w:t>
            </w:r>
          </w:p>
          <w:p w14:paraId="2BFB96B6">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2.保持售饭窗口的整洁。</w:t>
            </w:r>
          </w:p>
          <w:p w14:paraId="5B260AFC">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napToGrid w:val="0"/>
                <w:kern w:val="2"/>
                <w:sz w:val="24"/>
                <w:szCs w:val="24"/>
                <w:highlight w:val="none"/>
                <w:lang w:val="en-US" w:eastAsia="zh-CN" w:bidi="ar-SA"/>
              </w:rPr>
              <w:t>3.在需要的时候，协助厨师、切配工等其他食堂工作人员。</w:t>
            </w:r>
          </w:p>
        </w:tc>
      </w:tr>
      <w:tr w14:paraId="5476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14:paraId="5F1B5D8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07EF53D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切配工</w:t>
            </w:r>
          </w:p>
        </w:tc>
        <w:tc>
          <w:tcPr>
            <w:tcW w:w="466" w:type="pct"/>
            <w:noWrap w:val="0"/>
            <w:vAlign w:val="center"/>
          </w:tcPr>
          <w:p w14:paraId="1A3763D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2人</w:t>
            </w:r>
          </w:p>
        </w:tc>
        <w:tc>
          <w:tcPr>
            <w:tcW w:w="1368" w:type="pct"/>
            <w:noWrap w:val="0"/>
            <w:vAlign w:val="center"/>
          </w:tcPr>
          <w:p w14:paraId="6987474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有3年以上本质工作经验，踏实、责任心强，工作态度好，各种烹饪材料的切配。</w:t>
            </w:r>
          </w:p>
        </w:tc>
        <w:tc>
          <w:tcPr>
            <w:tcW w:w="2201" w:type="pct"/>
            <w:noWrap w:val="0"/>
            <w:vAlign w:val="center"/>
          </w:tcPr>
          <w:p w14:paraId="0C4C44B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1.负责将采购回来的食材进行初步处理。</w:t>
            </w:r>
          </w:p>
          <w:p w14:paraId="4B542994">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2.按照菜谱和厨师的要求，准确切配食材。</w:t>
            </w:r>
          </w:p>
          <w:p w14:paraId="0ADDBEE3">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lang w:val="en-US" w:eastAsia="zh-CN" w:bidi="ar-SA"/>
              </w:rPr>
              <w:t>3.合理安排食材的使用顺序。</w:t>
            </w:r>
          </w:p>
        </w:tc>
      </w:tr>
      <w:tr w14:paraId="244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14:paraId="2FE294E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rPr>
            </w:pPr>
          </w:p>
        </w:tc>
        <w:tc>
          <w:tcPr>
            <w:tcW w:w="627" w:type="pct"/>
            <w:noWrap w:val="0"/>
            <w:vAlign w:val="center"/>
          </w:tcPr>
          <w:p w14:paraId="218FFB1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保洁、消杀</w:t>
            </w:r>
          </w:p>
        </w:tc>
        <w:tc>
          <w:tcPr>
            <w:tcW w:w="466" w:type="pct"/>
            <w:noWrap w:val="0"/>
            <w:vAlign w:val="center"/>
          </w:tcPr>
          <w:p w14:paraId="4D023BD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2人</w:t>
            </w:r>
          </w:p>
        </w:tc>
        <w:tc>
          <w:tcPr>
            <w:tcW w:w="1368" w:type="pct"/>
            <w:noWrap w:val="0"/>
            <w:vAlign w:val="center"/>
          </w:tcPr>
          <w:p w14:paraId="0685BAF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有3年以上本质工作经验，踏实、责任心强，工作态度好，餐厅卫生工作以及餐具清洗等工作。</w:t>
            </w:r>
          </w:p>
        </w:tc>
        <w:tc>
          <w:tcPr>
            <w:tcW w:w="2201" w:type="pct"/>
            <w:noWrap w:val="0"/>
            <w:vAlign w:val="center"/>
          </w:tcPr>
          <w:p w14:paraId="53963E28">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1.定期清扫并保持食堂大厅的地面、门窗清洁。</w:t>
            </w:r>
          </w:p>
          <w:p w14:paraId="32F73DFC">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2.及时清洁食堂的桌椅。</w:t>
            </w:r>
          </w:p>
          <w:p w14:paraId="5FCFA1FB">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3.负责将回收的餐具进行清洗。</w:t>
            </w:r>
          </w:p>
          <w:p w14:paraId="00CE5737">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4.对清洗后的餐具进行消毒。</w:t>
            </w:r>
          </w:p>
          <w:p w14:paraId="12990235">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5.将消毒后的餐具妥善存放。</w:t>
            </w:r>
          </w:p>
          <w:p w14:paraId="675A78E2">
            <w:pPr>
              <w:pStyle w:val="2"/>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napToGrid w:val="0"/>
                <w:kern w:val="2"/>
                <w:sz w:val="24"/>
                <w:szCs w:val="24"/>
                <w:highlight w:val="none"/>
                <w:lang w:val="en-US" w:eastAsia="zh-CN" w:bidi="ar-SA"/>
              </w:rPr>
              <w:t>6.如实填写食堂消毒记录。</w:t>
            </w:r>
          </w:p>
        </w:tc>
      </w:tr>
      <w:bookmarkEnd w:id="164"/>
      <w:bookmarkEnd w:id="165"/>
    </w:tbl>
    <w:p w14:paraId="09135B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bookmarkStart w:id="166" w:name="_Toc12405"/>
    </w:p>
    <w:p w14:paraId="6F651F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b/>
          <w:bCs w:val="0"/>
          <w:color w:val="auto"/>
          <w:sz w:val="24"/>
          <w:szCs w:val="24"/>
          <w:highlight w:val="none"/>
          <w:lang w:val="en-US" w:eastAsia="zh-CN"/>
        </w:rPr>
        <w:t>商务要求</w:t>
      </w:r>
    </w:p>
    <w:tbl>
      <w:tblPr>
        <w:tblStyle w:val="19"/>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520"/>
      </w:tblGrid>
      <w:tr w14:paraId="697F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14" w:type="dxa"/>
            <w:noWrap w:val="0"/>
            <w:vAlign w:val="center"/>
          </w:tcPr>
          <w:p w14:paraId="28797FC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履行时间（期限）</w:t>
            </w:r>
          </w:p>
        </w:tc>
        <w:tc>
          <w:tcPr>
            <w:tcW w:w="6520" w:type="dxa"/>
            <w:noWrap w:val="0"/>
            <w:vAlign w:val="center"/>
          </w:tcPr>
          <w:p w14:paraId="5C96C78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i w:val="0"/>
                <w:iCs w:val="0"/>
                <w:color w:val="auto"/>
                <w:sz w:val="24"/>
                <w:szCs w:val="24"/>
                <w:highlight w:val="none"/>
              </w:rPr>
              <w:t>本项目为一采三年（合同签订之日起-202</w:t>
            </w:r>
            <w:r>
              <w:rPr>
                <w:rFonts w:hint="eastAsia" w:ascii="宋体" w:hAnsi="宋体" w:eastAsia="宋体" w:cs="宋体"/>
                <w:b w:val="0"/>
                <w:bCs/>
                <w:i w:val="0"/>
                <w:iCs w:val="0"/>
                <w:color w:val="auto"/>
                <w:sz w:val="24"/>
                <w:szCs w:val="24"/>
                <w:highlight w:val="none"/>
                <w:lang w:val="en-US" w:eastAsia="zh-CN"/>
              </w:rPr>
              <w:t>8</w:t>
            </w:r>
            <w:r>
              <w:rPr>
                <w:rFonts w:hint="eastAsia" w:ascii="宋体" w:hAnsi="宋体" w:eastAsia="宋体" w:cs="宋体"/>
                <w:b w:val="0"/>
                <w:bCs/>
                <w:i w:val="0"/>
                <w:iCs w:val="0"/>
                <w:color w:val="auto"/>
                <w:sz w:val="24"/>
                <w:szCs w:val="24"/>
                <w:highlight w:val="none"/>
              </w:rPr>
              <w:t>年7月16日），合同一年一签。每年度验收为合格（年度食堂承包经营服务考核分达到</w:t>
            </w:r>
            <w:r>
              <w:rPr>
                <w:rFonts w:hint="eastAsia" w:ascii="宋体" w:hAnsi="宋体" w:eastAsia="宋体" w:cs="宋体"/>
                <w:b w:val="0"/>
                <w:bCs/>
                <w:i w:val="0"/>
                <w:iCs w:val="0"/>
                <w:color w:val="auto"/>
                <w:sz w:val="24"/>
                <w:szCs w:val="24"/>
                <w:highlight w:val="none"/>
                <w:lang w:val="en-US" w:eastAsia="zh-CN"/>
              </w:rPr>
              <w:t>75</w:t>
            </w:r>
            <w:r>
              <w:rPr>
                <w:rFonts w:hint="eastAsia" w:ascii="宋体" w:hAnsi="宋体" w:eastAsia="宋体" w:cs="宋体"/>
                <w:b w:val="0"/>
                <w:bCs/>
                <w:i w:val="0"/>
                <w:iCs w:val="0"/>
                <w:color w:val="auto"/>
                <w:sz w:val="24"/>
                <w:szCs w:val="24"/>
                <w:highlight w:val="none"/>
              </w:rPr>
              <w:t>分及以上且满意度测评的</w:t>
            </w:r>
            <w:r>
              <w:rPr>
                <w:rFonts w:hint="eastAsia" w:ascii="宋体" w:hAnsi="宋体" w:eastAsia="宋体" w:cs="宋体"/>
                <w:b w:val="0"/>
                <w:bCs/>
                <w:i w:val="0"/>
                <w:iCs w:val="0"/>
                <w:color w:val="auto"/>
                <w:sz w:val="24"/>
                <w:szCs w:val="24"/>
                <w:highlight w:val="none"/>
                <w:lang w:val="en-US" w:eastAsia="zh-CN"/>
              </w:rPr>
              <w:t>年度</w:t>
            </w:r>
            <w:r>
              <w:rPr>
                <w:rFonts w:hint="eastAsia" w:ascii="宋体" w:hAnsi="宋体" w:eastAsia="宋体" w:cs="宋体"/>
                <w:b w:val="0"/>
                <w:bCs/>
                <w:i w:val="0"/>
                <w:iCs w:val="0"/>
                <w:color w:val="auto"/>
                <w:sz w:val="24"/>
                <w:szCs w:val="24"/>
                <w:highlight w:val="none"/>
              </w:rPr>
              <w:t>满意率75%以</w:t>
            </w:r>
            <w:r>
              <w:rPr>
                <w:rFonts w:hint="eastAsia" w:ascii="宋体" w:hAnsi="宋体" w:eastAsia="宋体" w:cs="宋体"/>
                <w:b w:val="0"/>
                <w:bCs/>
                <w:i w:val="0"/>
                <w:iCs w:val="0"/>
                <w:color w:val="auto"/>
                <w:sz w:val="24"/>
                <w:szCs w:val="24"/>
                <w:highlight w:val="none"/>
                <w:lang w:val="en-US" w:eastAsia="zh-CN"/>
              </w:rPr>
              <w:t>上（包含75%）并符合招投标文件和合同中要求才续签下一学年合同。</w:t>
            </w:r>
          </w:p>
        </w:tc>
      </w:tr>
      <w:tr w14:paraId="4906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14" w:type="dxa"/>
            <w:noWrap w:val="0"/>
            <w:vAlign w:val="center"/>
          </w:tcPr>
          <w:p w14:paraId="2CCD2B3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履行地点（范围）</w:t>
            </w:r>
          </w:p>
        </w:tc>
        <w:tc>
          <w:tcPr>
            <w:tcW w:w="6520" w:type="dxa"/>
            <w:noWrap w:val="0"/>
            <w:vAlign w:val="center"/>
          </w:tcPr>
          <w:p w14:paraId="24583CF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eastAsia="zh-CN"/>
              </w:rPr>
              <w:t>成都市技师学院新都校区</w:t>
            </w:r>
            <w:r>
              <w:rPr>
                <w:rFonts w:hint="eastAsia" w:ascii="宋体" w:hAnsi="宋体" w:eastAsia="宋体" w:cs="宋体"/>
                <w:b w:val="0"/>
                <w:bCs/>
                <w:i w:val="0"/>
                <w:iCs w:val="0"/>
                <w:color w:val="auto"/>
                <w:sz w:val="24"/>
                <w:szCs w:val="24"/>
                <w:highlight w:val="none"/>
                <w:lang w:val="en-US" w:eastAsia="zh-CN"/>
              </w:rPr>
              <w:t xml:space="preserve"> </w:t>
            </w:r>
          </w:p>
          <w:p w14:paraId="271AFE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成都市新都区新都镇西北村10社301号。</w:t>
            </w:r>
          </w:p>
        </w:tc>
      </w:tr>
      <w:tr w14:paraId="2D9E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0411B0F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付款进度安排、资金支付方式</w:t>
            </w:r>
          </w:p>
        </w:tc>
        <w:tc>
          <w:tcPr>
            <w:tcW w:w="6520" w:type="dxa"/>
            <w:noWrap w:val="0"/>
            <w:vAlign w:val="center"/>
          </w:tcPr>
          <w:p w14:paraId="0FB513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1.食堂营业款通过校园支付系统统一支付到采购人财务账户，</w:t>
            </w:r>
            <w:r>
              <w:rPr>
                <w:rFonts w:hint="eastAsia" w:ascii="宋体" w:hAnsi="宋体" w:eastAsia="宋体" w:cs="宋体"/>
                <w:b w:val="0"/>
                <w:bCs/>
                <w:i w:val="0"/>
                <w:iCs w:val="0"/>
                <w:color w:val="auto"/>
                <w:sz w:val="24"/>
                <w:szCs w:val="24"/>
                <w:highlight w:val="none"/>
                <w:lang w:eastAsia="zh-CN"/>
              </w:rPr>
              <w:t>投标人</w:t>
            </w:r>
            <w:r>
              <w:rPr>
                <w:rFonts w:hint="eastAsia" w:ascii="宋体" w:hAnsi="宋体" w:eastAsia="宋体" w:cs="宋体"/>
                <w:b w:val="0"/>
                <w:bCs/>
                <w:i w:val="0"/>
                <w:iCs w:val="0"/>
                <w:color w:val="auto"/>
                <w:sz w:val="24"/>
                <w:szCs w:val="24"/>
                <w:highlight w:val="none"/>
              </w:rPr>
              <w:t>结清当月的水、电、气费后，采购人</w:t>
            </w:r>
            <w:r>
              <w:rPr>
                <w:rFonts w:hint="eastAsia" w:ascii="宋体" w:hAnsi="宋体" w:eastAsia="宋体" w:cs="宋体"/>
                <w:b w:val="0"/>
                <w:bCs/>
                <w:i w:val="0"/>
                <w:iCs w:val="0"/>
                <w:color w:val="auto"/>
                <w:sz w:val="24"/>
                <w:szCs w:val="24"/>
                <w:highlight w:val="none"/>
                <w:lang w:val="en-US" w:eastAsia="zh-CN"/>
              </w:rPr>
              <w:t>按月营业额的100%</w:t>
            </w:r>
            <w:r>
              <w:rPr>
                <w:rFonts w:hint="eastAsia" w:ascii="宋体" w:hAnsi="宋体" w:eastAsia="宋体" w:cs="宋体"/>
                <w:b w:val="0"/>
                <w:bCs/>
                <w:i w:val="0"/>
                <w:iCs w:val="0"/>
                <w:color w:val="auto"/>
                <w:sz w:val="24"/>
                <w:szCs w:val="24"/>
                <w:highlight w:val="none"/>
              </w:rPr>
              <w:t>在次月15个日历天内支付给</w:t>
            </w:r>
            <w:r>
              <w:rPr>
                <w:rFonts w:hint="eastAsia" w:ascii="宋体" w:hAnsi="宋体" w:eastAsia="宋体" w:cs="宋体"/>
                <w:b w:val="0"/>
                <w:bCs/>
                <w:i w:val="0"/>
                <w:iCs w:val="0"/>
                <w:color w:val="auto"/>
                <w:sz w:val="24"/>
                <w:szCs w:val="24"/>
                <w:highlight w:val="none"/>
                <w:lang w:val="en-US" w:eastAsia="zh-CN"/>
              </w:rPr>
              <w:t>投标人</w:t>
            </w:r>
            <w:r>
              <w:rPr>
                <w:rFonts w:hint="eastAsia" w:ascii="宋体" w:hAnsi="宋体" w:eastAsia="宋体" w:cs="宋体"/>
                <w:b w:val="0"/>
                <w:bCs/>
                <w:i w:val="0"/>
                <w:iCs w:val="0"/>
                <w:color w:val="auto"/>
                <w:sz w:val="24"/>
                <w:szCs w:val="24"/>
                <w:highlight w:val="none"/>
              </w:rPr>
              <w:t>。</w:t>
            </w:r>
          </w:p>
          <w:p w14:paraId="4AB088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i w:val="0"/>
                <w:iCs w:val="0"/>
                <w:color w:val="auto"/>
                <w:sz w:val="24"/>
                <w:szCs w:val="24"/>
                <w:highlight w:val="none"/>
              </w:rPr>
              <w:t xml:space="preserve">2.支付方式：对公转账。 </w:t>
            </w:r>
          </w:p>
        </w:tc>
      </w:tr>
      <w:tr w14:paraId="35D4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14" w:type="dxa"/>
            <w:noWrap w:val="0"/>
            <w:vAlign w:val="center"/>
          </w:tcPr>
          <w:p w14:paraId="16DDF74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保险要求</w:t>
            </w:r>
          </w:p>
        </w:tc>
        <w:tc>
          <w:tcPr>
            <w:tcW w:w="6520" w:type="dxa"/>
            <w:noWrap w:val="0"/>
            <w:vAlign w:val="center"/>
          </w:tcPr>
          <w:p w14:paraId="0F47A5D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i w:val="0"/>
                <w:iCs w:val="0"/>
                <w:color w:val="auto"/>
                <w:sz w:val="24"/>
                <w:szCs w:val="24"/>
                <w:highlight w:val="none"/>
                <w:lang w:val="en-US" w:eastAsia="zh-CN"/>
              </w:rPr>
              <w:t>投标人为本项目服务食堂购买保额不少于500万元的食品安全责任保险或公众责任保险。</w:t>
            </w:r>
          </w:p>
        </w:tc>
      </w:tr>
      <w:tr w14:paraId="347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14" w:type="dxa"/>
            <w:noWrap w:val="0"/>
            <w:vAlign w:val="center"/>
          </w:tcPr>
          <w:p w14:paraId="0F843D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其他商务要求</w:t>
            </w:r>
          </w:p>
        </w:tc>
        <w:tc>
          <w:tcPr>
            <w:tcW w:w="6520" w:type="dxa"/>
            <w:noWrap w:val="0"/>
            <w:vAlign w:val="center"/>
          </w:tcPr>
          <w:p w14:paraId="5492008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1.采购人提供水、电、气等基础设施设备，投标人对校区食堂原有的设备、设施要合理正确使用，负责设备、设施的日常维护、维修并承担相关维护维修费用。投标人自行添置的设施用具，必须符合国家及采购人的相关规定以及安全卫生等要求，不得私自改装食堂设备。合同期满后，投标人离场时投标人投入的可移动设备应清场，不可移动的设施设备不得拆除和破坏；投标人须确保采购人原有和投标人投入的不可移动设施设备能正常使用。</w:t>
            </w:r>
            <w:r>
              <w:rPr>
                <w:rFonts w:hint="eastAsia" w:ascii="宋体" w:hAnsi="宋体" w:eastAsia="宋体" w:cs="宋体"/>
                <w:b/>
                <w:bCs w:val="0"/>
                <w:i w:val="0"/>
                <w:iCs w:val="0"/>
                <w:color w:val="auto"/>
                <w:sz w:val="24"/>
                <w:szCs w:val="24"/>
                <w:highlight w:val="none"/>
                <w:lang w:val="en-US" w:eastAsia="zh-CN"/>
              </w:rPr>
              <w:t>（说明：提供承诺函并加盖投标人公章）</w:t>
            </w:r>
          </w:p>
          <w:p w14:paraId="29524CC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驻场人员均须按照食品安全相关法律法规，持有效期内的健康证，并对外公示后方可上岗。</w:t>
            </w:r>
          </w:p>
          <w:p w14:paraId="478F4D8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提供的</w:t>
            </w:r>
            <w:r>
              <w:rPr>
                <w:rFonts w:hint="eastAsia" w:ascii="宋体" w:hAnsi="宋体" w:eastAsia="宋体" w:cs="宋体"/>
                <w:sz w:val="24"/>
                <w:szCs w:val="24"/>
                <w:highlight w:val="none"/>
              </w:rPr>
              <w:t>驻场人员</w:t>
            </w:r>
            <w:r>
              <w:rPr>
                <w:rFonts w:hint="eastAsia" w:ascii="宋体" w:hAnsi="宋体" w:eastAsia="宋体" w:cs="宋体"/>
                <w:sz w:val="24"/>
                <w:szCs w:val="24"/>
                <w:highlight w:val="none"/>
                <w:lang w:val="en-US" w:eastAsia="zh-CN"/>
              </w:rPr>
              <w:t>三年内</w:t>
            </w:r>
            <w:r>
              <w:rPr>
                <w:rFonts w:hint="eastAsia" w:ascii="宋体" w:hAnsi="宋体" w:eastAsia="宋体" w:cs="宋体"/>
                <w:sz w:val="24"/>
                <w:szCs w:val="24"/>
                <w:highlight w:val="none"/>
              </w:rPr>
              <w:t>不得随意更换(采购人要求更换的除外)，如需要更换的，须至少提前30天报经</w:t>
            </w:r>
            <w:r>
              <w:rPr>
                <w:rFonts w:hint="eastAsia" w:ascii="宋体" w:hAnsi="宋体" w:eastAsia="宋体" w:cs="宋体"/>
                <w:sz w:val="24"/>
                <w:szCs w:val="24"/>
                <w:highlight w:val="none"/>
                <w:lang w:val="en-US"/>
              </w:rPr>
              <w:t>采购人</w:t>
            </w:r>
            <w:r>
              <w:rPr>
                <w:rFonts w:hint="eastAsia" w:ascii="宋体" w:hAnsi="宋体" w:eastAsia="宋体" w:cs="宋体"/>
                <w:sz w:val="24"/>
                <w:szCs w:val="24"/>
                <w:highlight w:val="none"/>
              </w:rPr>
              <w:t>同意后方可更换</w:t>
            </w:r>
            <w:r>
              <w:rPr>
                <w:rFonts w:hint="eastAsia" w:ascii="宋体" w:hAnsi="宋体" w:eastAsia="宋体" w:cs="宋体"/>
                <w:sz w:val="24"/>
                <w:szCs w:val="24"/>
                <w:highlight w:val="none"/>
                <w:lang w:eastAsia="zh-CN"/>
              </w:rPr>
              <w:t>。</w:t>
            </w:r>
          </w:p>
          <w:p w14:paraId="0882EAE2">
            <w:pPr>
              <w:widowControl/>
              <w:adjustRightInd w:val="0"/>
              <w:snapToGrid w:val="0"/>
              <w:spacing w:line="40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.投标人应对食堂从业人员进行食品卫生安全知识培训和相应岗位技能培训(每年不少于40学时)和考核</w:t>
            </w:r>
            <w:r>
              <w:rPr>
                <w:rFonts w:hint="eastAsia" w:ascii="宋体" w:hAnsi="宋体" w:eastAsia="宋体" w:cs="宋体"/>
                <w:sz w:val="24"/>
                <w:szCs w:val="24"/>
                <w:highlight w:val="none"/>
                <w:lang w:eastAsia="zh-CN"/>
              </w:rPr>
              <w:t>。</w:t>
            </w:r>
          </w:p>
          <w:p w14:paraId="1AFE0F44">
            <w:pPr>
              <w:widowControl/>
              <w:adjustRightInd w:val="0"/>
              <w:snapToGrid w:val="0"/>
              <w:spacing w:line="400" w:lineRule="exact"/>
              <w:ind w:firstLine="480" w:firstLineChars="200"/>
              <w:jc w:val="left"/>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投标人管理经营的其他单位（学校）食堂未发生过食品安全事故。</w:t>
            </w:r>
            <w:r>
              <w:rPr>
                <w:rFonts w:hint="eastAsia" w:ascii="宋体" w:hAnsi="宋体" w:eastAsia="宋体" w:cs="宋体"/>
                <w:b/>
                <w:bCs w:val="0"/>
                <w:i w:val="0"/>
                <w:iCs w:val="0"/>
                <w:color w:val="auto"/>
                <w:sz w:val="24"/>
                <w:szCs w:val="24"/>
                <w:highlight w:val="none"/>
                <w:lang w:val="en-US" w:eastAsia="zh-CN"/>
              </w:rPr>
              <w:t>（说明：提供承诺函并加盖投标人公章）</w:t>
            </w:r>
          </w:p>
          <w:p w14:paraId="17AE075F">
            <w:pPr>
              <w:pStyle w:val="2"/>
              <w:rPr>
                <w:rFonts w:hint="eastAsia" w:ascii="宋体" w:hAnsi="宋体" w:eastAsia="宋体" w:cs="宋体"/>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 xml:space="preserve">    6.投标人应积极参加招标人组织的与食堂、食品相关的各项活动，如厨艺大赛等。</w:t>
            </w:r>
          </w:p>
        </w:tc>
      </w:tr>
      <w:tr w14:paraId="2143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14" w:type="dxa"/>
            <w:noWrap w:val="0"/>
            <w:vAlign w:val="center"/>
          </w:tcPr>
          <w:p w14:paraId="5BF2A7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val="0"/>
                <w:sz w:val="24"/>
                <w:szCs w:val="24"/>
                <w:highlight w:val="none"/>
              </w:rPr>
              <w:t>履约保证金要求</w:t>
            </w:r>
          </w:p>
        </w:tc>
        <w:tc>
          <w:tcPr>
            <w:tcW w:w="6520" w:type="dxa"/>
            <w:noWrap w:val="0"/>
            <w:vAlign w:val="center"/>
          </w:tcPr>
          <w:p w14:paraId="57B99D3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1.履约保证金缴纳金额及方式</w:t>
            </w:r>
          </w:p>
          <w:p w14:paraId="519D03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履约保证金为人民币10万元(大写:壹拾万元整)，投标人应在中标通知书发出之日起至合同签订前，以银行转账非现金形式向招标人提交履约保证金。</w:t>
            </w:r>
          </w:p>
          <w:p w14:paraId="27ED74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2.履约保证金汇入的银行及账号</w:t>
            </w:r>
          </w:p>
          <w:p w14:paraId="7BA197E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收款账号:成都市技师学院</w:t>
            </w:r>
          </w:p>
          <w:p w14:paraId="236F951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开户行:工行四川成都分行郫都红光支行</w:t>
            </w:r>
          </w:p>
          <w:p w14:paraId="2D22F26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银行账号:4402054609100031151</w:t>
            </w:r>
          </w:p>
          <w:p w14:paraId="019EA51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3.履约保证金扣除情形</w:t>
            </w:r>
          </w:p>
          <w:p w14:paraId="332809B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投标人缴纳了履约保证金，但因自身原因被取消成交资格或在中标通知书发出之日起30个日历天(含法定节假日)内投标人不按招标文件确定的事项与采购人签订合同的，其履约保证金不予退还。</w:t>
            </w:r>
          </w:p>
          <w:p w14:paraId="51417A3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内，投标人在原材料采购和食堂经营管理中有违反相关规定和制度的行为，若第一次出现，投标人应在采购人限定的期限内完成整改；整改不到位或者再次发现的，视不同情形扣除相应履约保证金500-5000元/次，若扣除的费用不足以弥补因上述行为给采购人造成的损失的，采购人有权按损失金额扣除履约保证金。</w:t>
            </w:r>
          </w:p>
          <w:p w14:paraId="60BEC64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合同履行期内，投标人拖欠采购人水电气费的，采购人有权在履约保证金里扣除。</w:t>
            </w:r>
            <w:r>
              <w:rPr>
                <w:rFonts w:hint="eastAsia" w:ascii="宋体" w:hAnsi="宋体" w:eastAsia="宋体" w:cs="宋体"/>
                <w:sz w:val="24"/>
                <w:szCs w:val="24"/>
                <w:highlight w:val="none"/>
              </w:rPr>
              <w:t xml:space="preserve"> </w:t>
            </w:r>
          </w:p>
          <w:p w14:paraId="1CD80B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合同因何原因终止或解除，投标人须在合同终止或解除后10个日历天内撤离，并结清与采购人的债权债务以及一切移交手续。如不按时移交，采购人将从投标人缴纳的履约保证金中按照1000元/日扣除，逾期超过10日仍未撤离学校并结清手续的，投标人所投入的设备等归采购人所有，且采购人有权对投标人缴纳的履约保证金全额扣除。</w:t>
            </w:r>
          </w:p>
          <w:p w14:paraId="2481773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违反法律法规、未按招投标文件或合同约定执行的，履约保证金不予退还。</w:t>
            </w:r>
          </w:p>
          <w:p w14:paraId="158377A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若有履约保证金的扣除，投标人须在5个日历天之内将履约保证金的扣除部分补齐，并将交付凭证复印件报采购人。</w:t>
            </w:r>
          </w:p>
          <w:p w14:paraId="6BED518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4.履约保证金退还</w:t>
            </w:r>
          </w:p>
          <w:p w14:paraId="38AF0B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满，投标人须在10个日历天内撤离，并结清与采购人的所有债权债务，以及完成合同所有条款规定的义务后，经采购人验收合格才能办理移交手续。移交手续办理完毕后，投标人提出书面申请，采购人在30个日历天内无息退还投标人应退部分履约保证金。投标人在经营期投入的物品未搬离的，视为投标人自愿放弃，均由采购人自行处置。</w:t>
            </w:r>
          </w:p>
          <w:p w14:paraId="29011D41">
            <w:pPr>
              <w:pStyle w:val="2"/>
              <w:rPr>
                <w:rFonts w:hint="eastAsia" w:ascii="宋体" w:hAnsi="宋体" w:eastAsia="宋体" w:cs="宋体"/>
                <w:b/>
                <w:bCs w:val="0"/>
                <w:i w:val="0"/>
                <w:iCs w:val="0"/>
                <w:color w:val="auto"/>
                <w:sz w:val="24"/>
                <w:szCs w:val="24"/>
                <w:highlight w:val="none"/>
                <w:lang w:val="en-US" w:eastAsia="zh-CN"/>
              </w:rPr>
            </w:pPr>
          </w:p>
        </w:tc>
      </w:tr>
    </w:tbl>
    <w:p w14:paraId="024D5615">
      <w:pPr>
        <w:adjustRightInd w:val="0"/>
        <w:snapToGrid w:val="0"/>
        <w:spacing w:line="400" w:lineRule="exact"/>
        <w:jc w:val="left"/>
        <w:rPr>
          <w:rFonts w:hint="eastAsia" w:ascii="宋体" w:hAnsi="宋体" w:eastAsia="宋体" w:cs="宋体"/>
          <w:b/>
          <w:bCs/>
          <w:snapToGrid w:val="0"/>
          <w:color w:val="auto"/>
          <w:kern w:val="44"/>
          <w:sz w:val="24"/>
          <w:szCs w:val="24"/>
          <w:highlight w:val="none"/>
          <w:lang w:val="en-US" w:eastAsia="zh-CN" w:bidi="ar-SA"/>
        </w:rPr>
      </w:pPr>
    </w:p>
    <w:bookmarkEnd w:id="166"/>
    <w:p w14:paraId="1F68BCD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四、履约能力要求。</w:t>
      </w:r>
    </w:p>
    <w:p w14:paraId="6C3D8E2A">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rPr>
        <w:t>供应商具有类似本项目履约经验</w:t>
      </w:r>
      <w:r>
        <w:rPr>
          <w:rFonts w:hint="eastAsia" w:ascii="宋体" w:hAnsi="宋体" w:eastAsia="宋体" w:cs="宋体"/>
          <w:color w:val="auto"/>
          <w:kern w:val="2"/>
          <w:sz w:val="24"/>
          <w:szCs w:val="24"/>
          <w:highlight w:val="none"/>
          <w:lang w:val="en-US" w:eastAsia="zh-CN"/>
        </w:rPr>
        <w:t>。</w:t>
      </w:r>
    </w:p>
    <w:p w14:paraId="6096E8E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方案要求</w:t>
      </w:r>
      <w:r>
        <w:rPr>
          <w:rFonts w:hint="eastAsia" w:ascii="宋体" w:hAnsi="宋体" w:eastAsia="宋体" w:cs="宋体"/>
          <w:b/>
          <w:bCs/>
          <w:sz w:val="24"/>
          <w:szCs w:val="24"/>
          <w:highlight w:val="none"/>
          <w:lang w:eastAsia="zh-CN"/>
        </w:rPr>
        <w:t>。</w:t>
      </w:r>
    </w:p>
    <w:p w14:paraId="53A2B2CB">
      <w:pPr>
        <w:pStyle w:val="8"/>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eastAsia="zh-CN"/>
        </w:rPr>
        <w:t>投标人</w:t>
      </w:r>
      <w:r>
        <w:rPr>
          <w:rFonts w:hint="eastAsia" w:ascii="宋体" w:hAnsi="宋体" w:eastAsia="宋体" w:cs="宋体"/>
          <w:sz w:val="24"/>
          <w:szCs w:val="24"/>
          <w:highlight w:val="none"/>
          <w:u w:val="none"/>
          <w:lang w:val="en-US" w:eastAsia="zh-CN"/>
        </w:rPr>
        <w:t>提供管理方案和应急预案</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管理方案</w:t>
      </w:r>
      <w:r>
        <w:rPr>
          <w:rFonts w:hint="eastAsia" w:ascii="宋体" w:hAnsi="宋体" w:eastAsia="宋体" w:cs="宋体"/>
          <w:sz w:val="24"/>
          <w:szCs w:val="24"/>
          <w:highlight w:val="none"/>
          <w:u w:val="none"/>
          <w:lang w:val="en-US" w:eastAsia="zh-CN"/>
        </w:rPr>
        <w:t>包括</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①进货查验；②仓储管理；③加工制作；④售卖服务；⑤清洗消毒；⑥食品添加剂管理；⑦食品留样；⑧餐厨废弃物处置管理；⑨从业人员健康管理；⑩投诉受理措施</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应急预案</w:t>
      </w:r>
      <w:r>
        <w:rPr>
          <w:rFonts w:hint="eastAsia" w:ascii="宋体" w:hAnsi="宋体" w:eastAsia="宋体" w:cs="宋体"/>
          <w:sz w:val="24"/>
          <w:szCs w:val="24"/>
          <w:highlight w:val="none"/>
          <w:u w:val="none"/>
          <w:lang w:val="en-US" w:eastAsia="zh-CN"/>
        </w:rPr>
        <w:t>包括</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①火灾事故；②断水断电、停气；③突发设施设备异常或故障；④公共卫生事件</w:t>
      </w:r>
      <w:r>
        <w:rPr>
          <w:rFonts w:hint="eastAsia" w:ascii="宋体" w:hAnsi="宋体" w:eastAsia="宋体" w:cs="宋体"/>
          <w:sz w:val="24"/>
          <w:szCs w:val="24"/>
          <w:highlight w:val="none"/>
          <w:u w:val="none"/>
          <w:lang w:val="en-US" w:eastAsia="zh-CN"/>
        </w:rPr>
        <w:t>。</w:t>
      </w:r>
    </w:p>
    <w:p w14:paraId="6249F210">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p>
    <w:p w14:paraId="1EBF886D">
      <w:pPr>
        <w:spacing w:line="240" w:lineRule="auto"/>
        <w:rPr>
          <w:color w:val="auto"/>
          <w:sz w:val="24"/>
          <w:szCs w:val="24"/>
          <w:highlight w:val="none"/>
        </w:rPr>
      </w:pPr>
    </w:p>
    <w:p w14:paraId="6481FAC1">
      <w:pPr>
        <w:spacing w:line="240" w:lineRule="auto"/>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pPr>
      <w:r>
        <w:rPr>
          <w:rFonts w:hint="eastAsia" w:ascii="宋体" w:hAnsi="宋体" w:eastAsia="宋体" w:cs="宋体"/>
          <w:b/>
          <w:bCs/>
          <w:color w:val="auto"/>
          <w:sz w:val="24"/>
          <w:szCs w:val="24"/>
          <w:highlight w:val="none"/>
        </w:rPr>
        <w:t>注：本章中标注“★”的条款为实质性要求，不允许有负偏离，有任意一项负偏离的，作无效投标处理</w:t>
      </w:r>
      <w:r>
        <w:rPr>
          <w:rFonts w:hint="eastAsia" w:ascii="宋体" w:hAnsi="宋体" w:eastAsia="宋体" w:cs="宋体"/>
          <w:b/>
          <w:bCs/>
          <w:color w:val="auto"/>
          <w:sz w:val="24"/>
          <w:szCs w:val="24"/>
          <w:highlight w:val="none"/>
          <w:lang w:eastAsia="zh-CN"/>
        </w:rPr>
        <w:t>。</w:t>
      </w:r>
      <w:r>
        <w:rPr>
          <w:rFonts w:hint="eastAsia" w:hAnsi="宋体" w:cs="宋体"/>
          <w:b/>
          <w:bCs/>
          <w:sz w:val="24"/>
          <w:szCs w:val="24"/>
          <w:highlight w:val="none"/>
        </w:rPr>
        <w:t>招标文件明确要求提供相应证明材料的，应按要求提供证明材料，</w:t>
      </w:r>
      <w:r>
        <w:rPr>
          <w:rFonts w:hint="eastAsia" w:cs="方正仿宋_GBK"/>
          <w:b/>
          <w:sz w:val="24"/>
          <w:highlight w:val="none"/>
        </w:rPr>
        <w:t>未按要求提供相关证明材料的视为不满足；其他未标明证明材料要求的</w:t>
      </w:r>
      <w:r>
        <w:rPr>
          <w:rFonts w:hint="eastAsia" w:hAnsi="宋体" w:cs="宋体"/>
          <w:b/>
          <w:bCs/>
          <w:sz w:val="24"/>
          <w:szCs w:val="24"/>
          <w:highlight w:val="none"/>
        </w:rPr>
        <w:t>根据投标人的应答进行认定；</w:t>
      </w:r>
      <w:r>
        <w:rPr>
          <w:rFonts w:hint="eastAsia" w:cs="方正仿宋_GBK"/>
          <w:b/>
          <w:sz w:val="24"/>
          <w:highlight w:val="none"/>
        </w:rPr>
        <w:t>相关证明材料应加盖投标人公章。</w:t>
      </w:r>
    </w:p>
    <w:p w14:paraId="007A80A8">
      <w:pPr>
        <w:spacing w:line="240" w:lineRule="auto"/>
        <w:rPr>
          <w:color w:val="auto"/>
          <w:highlight w:val="none"/>
        </w:rPr>
      </w:pPr>
    </w:p>
    <w:p w14:paraId="54C621DE">
      <w:pPr>
        <w:spacing w:line="240" w:lineRule="auto"/>
        <w:rPr>
          <w:color w:val="auto"/>
          <w:highlight w:val="none"/>
        </w:rPr>
      </w:pPr>
    </w:p>
    <w:p w14:paraId="11332386">
      <w:pPr>
        <w:spacing w:line="240" w:lineRule="auto"/>
        <w:rPr>
          <w:color w:val="auto"/>
          <w:highlight w:val="none"/>
        </w:rPr>
        <w:sectPr>
          <w:headerReference r:id="rId41" w:type="default"/>
          <w:footerReference r:id="rId42" w:type="default"/>
          <w:pgSz w:w="11905" w:h="16838"/>
          <w:pgMar w:top="1417" w:right="1417" w:bottom="1417" w:left="1417" w:header="0" w:footer="1134" w:gutter="0"/>
          <w:cols w:space="0" w:num="1"/>
        </w:sectPr>
      </w:pPr>
    </w:p>
    <w:p w14:paraId="5013760B">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7" w:name="_Toc27597"/>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第七章  评标办法</w:t>
      </w:r>
      <w:bookmarkEnd w:id="167"/>
    </w:p>
    <w:p w14:paraId="3B72E9C5">
      <w:pPr>
        <w:spacing w:line="240" w:lineRule="auto"/>
        <w:ind w:firstLine="482" w:firstLineChars="200"/>
        <w:outlineLvl w:val="1"/>
        <w:rPr>
          <w:rFonts w:ascii="宋体" w:hAnsi="宋体" w:eastAsia="宋体" w:cs="宋体"/>
          <w:b/>
          <w:bCs/>
          <w:color w:val="auto"/>
          <w:sz w:val="24"/>
          <w:szCs w:val="24"/>
          <w:highlight w:val="none"/>
        </w:rPr>
      </w:pPr>
      <w:bookmarkStart w:id="168" w:name="_Toc622"/>
      <w:bookmarkStart w:id="169" w:name="_Toc20765"/>
      <w:bookmarkStart w:id="170" w:name="_Toc5040"/>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总则</w:t>
      </w:r>
      <w:bookmarkEnd w:id="168"/>
      <w:bookmarkEnd w:id="169"/>
      <w:bookmarkEnd w:id="170"/>
    </w:p>
    <w:p w14:paraId="4395991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1.1 </w:t>
      </w:r>
      <w:r>
        <w:rPr>
          <w:rFonts w:hint="eastAsia" w:ascii="宋体" w:hAnsi="宋体" w:eastAsia="宋体" w:cs="宋体"/>
          <w:color w:val="auto"/>
          <w:spacing w:val="6"/>
          <w:sz w:val="24"/>
          <w:szCs w:val="24"/>
          <w:highlight w:val="none"/>
          <w:lang w:val="en-US" w:eastAsia="zh-CN"/>
        </w:rPr>
        <w:t>参照</w:t>
      </w:r>
      <w:r>
        <w:rPr>
          <w:rFonts w:hint="eastAsia" w:ascii="宋体" w:hAnsi="宋体" w:eastAsia="宋体" w:cs="宋体"/>
          <w:color w:val="auto"/>
          <w:spacing w:val="6"/>
          <w:sz w:val="24"/>
          <w:szCs w:val="24"/>
          <w:highlight w:val="none"/>
        </w:rPr>
        <w:t>《中华人民共和国政府采购法》、《中华人民共和国政府采购法实施条例》、《政府采购货物和服务招标投标管理办法》等法律制度，结合采购项目特点制定本评标办法。</w:t>
      </w:r>
    </w:p>
    <w:p w14:paraId="7EE5FB3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 评标工作由招标代理机构负责组织，具体评标事务由招标代理机构依法组建的评标委员会负责。评标委员会由招标人代表和有关技术、经济、法律等方面的专家组成。</w:t>
      </w:r>
    </w:p>
    <w:p w14:paraId="2BF4F6E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1.3 评标工作应遵循公平、公正、科学及择优的原则，并以相同的评标程序和标准对待所有的投标人。</w:t>
      </w:r>
    </w:p>
    <w:p w14:paraId="15E286B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 评标委员会按照招标文件规定的评标方法和标准进行评标，并独立履行下列职责：</w:t>
      </w:r>
    </w:p>
    <w:p w14:paraId="4C8A128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1.4.1 熟悉和理解招标文件；</w:t>
      </w:r>
    </w:p>
    <w:p w14:paraId="7C6B6B3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1.4.2 审查投标人投标文件等是否满足招标文件要求，并作出评价；</w:t>
      </w:r>
    </w:p>
    <w:p w14:paraId="2FFF19B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1.4.3 根据需要要求招标采购单位对招标文件作出解释；根据需要要求投标人对投标文件有关事项作出澄清、说明或者更正；</w:t>
      </w:r>
    </w:p>
    <w:p w14:paraId="6DCB8F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 推荐中标候选人，或者受招标人委托确定中标人；</w:t>
      </w:r>
    </w:p>
    <w:p w14:paraId="683E8D9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1.4.5 起草评标报告并进行签署；</w:t>
      </w:r>
    </w:p>
    <w:p w14:paraId="0CBA0C5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1.4.6 向招标采购单位、财政部门或者其他监督部门报告非法干预评标工作的行为；</w:t>
      </w:r>
    </w:p>
    <w:p w14:paraId="120D664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1.4.7 法律、法规和规章规定的其他职责。</w:t>
      </w:r>
    </w:p>
    <w:p w14:paraId="032C48B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1.5 评标过程独立、保密。投标人非法干预</w:t>
      </w:r>
      <w:r>
        <w:rPr>
          <w:rFonts w:hint="eastAsia" w:ascii="宋体" w:hAnsi="宋体" w:eastAsia="宋体" w:cs="宋体"/>
          <w:color w:val="auto"/>
          <w:spacing w:val="6"/>
          <w:sz w:val="24"/>
          <w:szCs w:val="24"/>
          <w:highlight w:val="none"/>
          <w:lang w:eastAsia="zh-CN"/>
        </w:rPr>
        <w:t>评标</w:t>
      </w:r>
      <w:r>
        <w:rPr>
          <w:rFonts w:hint="eastAsia" w:ascii="宋体" w:hAnsi="宋体" w:eastAsia="宋体" w:cs="宋体"/>
          <w:color w:val="auto"/>
          <w:spacing w:val="6"/>
          <w:sz w:val="24"/>
          <w:szCs w:val="24"/>
          <w:highlight w:val="none"/>
        </w:rPr>
        <w:t>过程的行为将导致其投标文件作为无效处理。</w:t>
      </w:r>
    </w:p>
    <w:p w14:paraId="5460C1F8">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1.6 评标委员会评价投标文件的响应性，对于投标人而言，除评标委员会要求其澄清、说明或者更正而提供的资料外，仅依据投标文件本身的内容，不寻求其他外部证据。</w:t>
      </w:r>
    </w:p>
    <w:p w14:paraId="542960E4">
      <w:pPr>
        <w:spacing w:line="240" w:lineRule="auto"/>
        <w:ind w:firstLine="482" w:firstLineChars="200"/>
        <w:outlineLvl w:val="1"/>
        <w:rPr>
          <w:rFonts w:ascii="宋体" w:hAnsi="宋体" w:eastAsia="宋体" w:cs="宋体"/>
          <w:b/>
          <w:bCs/>
          <w:color w:val="auto"/>
          <w:sz w:val="24"/>
          <w:szCs w:val="24"/>
          <w:highlight w:val="none"/>
        </w:rPr>
      </w:pPr>
      <w:bookmarkStart w:id="171" w:name="_Toc26276"/>
      <w:bookmarkStart w:id="172" w:name="_Toc16135"/>
      <w:bookmarkStart w:id="173" w:name="_Toc15913"/>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评标方法</w:t>
      </w:r>
      <w:bookmarkEnd w:id="171"/>
      <w:bookmarkEnd w:id="172"/>
      <w:bookmarkEnd w:id="173"/>
    </w:p>
    <w:p w14:paraId="1E7B7194">
      <w:pPr>
        <w:spacing w:before="75" w:line="240" w:lineRule="auto"/>
        <w:ind w:left="504"/>
        <w:rPr>
          <w:rFonts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本项目评标方法为：</w:t>
      </w:r>
      <w:r>
        <w:rPr>
          <w:rFonts w:hint="eastAsia" w:ascii="宋体" w:hAnsi="宋体" w:eastAsia="宋体" w:cs="宋体"/>
          <w:b/>
          <w:bCs/>
          <w:color w:val="auto"/>
          <w:sz w:val="24"/>
          <w:szCs w:val="24"/>
          <w:highlight w:val="none"/>
        </w:rPr>
        <w:t>综合评分法</w:t>
      </w:r>
      <w:r>
        <w:rPr>
          <w:rFonts w:ascii="宋体" w:hAnsi="宋体" w:eastAsia="宋体" w:cs="宋体"/>
          <w:color w:val="auto"/>
          <w:spacing w:val="8"/>
          <w:sz w:val="24"/>
          <w:szCs w:val="24"/>
          <w:highlight w:val="none"/>
        </w:rPr>
        <w:t>。</w:t>
      </w:r>
    </w:p>
    <w:p w14:paraId="490D95DD">
      <w:pPr>
        <w:spacing w:line="240" w:lineRule="auto"/>
        <w:ind w:firstLine="482" w:firstLineChars="200"/>
        <w:outlineLvl w:val="1"/>
        <w:rPr>
          <w:rFonts w:ascii="宋体" w:hAnsi="宋体" w:eastAsia="宋体" w:cs="宋体"/>
          <w:b/>
          <w:bCs/>
          <w:color w:val="auto"/>
          <w:sz w:val="24"/>
          <w:szCs w:val="24"/>
          <w:highlight w:val="none"/>
        </w:rPr>
      </w:pPr>
      <w:bookmarkStart w:id="174" w:name="_Toc11326"/>
      <w:bookmarkStart w:id="175" w:name="_Toc17003"/>
      <w:bookmarkStart w:id="176" w:name="_Toc30788"/>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评标程序</w:t>
      </w:r>
      <w:bookmarkEnd w:id="174"/>
      <w:bookmarkEnd w:id="175"/>
      <w:bookmarkEnd w:id="176"/>
    </w:p>
    <w:p w14:paraId="6C91F85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招标人或者招标代理机构应当依法对投标人的资格进行审查，合格投标人不少于3人时，进入评标委员会正式评标环节。</w:t>
      </w:r>
    </w:p>
    <w:p w14:paraId="547144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熟悉和理解招标文件和停止评标。</w:t>
      </w:r>
    </w:p>
    <w:p w14:paraId="068ADE5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评标委员会正式评标前，应当对招标文件进行熟悉和理解，内容主要包括招标文件中实质性要求、采购项目技术、服务和商务要求、评标方法和标准以及可能涉及签订采购合同的内容等。</w:t>
      </w:r>
    </w:p>
    <w:p w14:paraId="20731B4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 评标委员会熟悉和理解招标文件以及评标过程中，发现本招标文件有下列情形之一的，评标委员会应当停止评标：</w:t>
      </w:r>
    </w:p>
    <w:p w14:paraId="114389E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3.1.2.1 招标文件的规定存在歧义、重大缺陷的；</w:t>
      </w:r>
    </w:p>
    <w:p w14:paraId="718286F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3.1.2.2 招标文件明显以不合理条件对供应商实行差别待遇或者歧视待遇的；</w:t>
      </w:r>
    </w:p>
    <w:p w14:paraId="3B01DB4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3.1.2.3 采购项目属于国家规定的优先、强制采购范围，但是招标文件未依法体现优先、强制采购相关规定的；</w:t>
      </w:r>
    </w:p>
    <w:p w14:paraId="557423C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3.1.2.4 采购项目属于政府采购促进中小企业发展的范围，但是招标文件未依法体现促进中小企业发展相关规定的；</w:t>
      </w:r>
    </w:p>
    <w:p w14:paraId="1EBDDB7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3.1.2.5 招标文件规定的评标方法是综合评分法、最低评标价法之外的评标方法，或者虽然名称为综合评分法、最低评标价法，但实际上不符合国家规定；</w:t>
      </w:r>
    </w:p>
    <w:p w14:paraId="461A239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3.1.2.6 招标文件将投标人的资格条件列为评分因素的；</w:t>
      </w:r>
    </w:p>
    <w:p w14:paraId="0C60B53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3.1.2.7 招标文件有违反国家其他有关强制性规定的情形。</w:t>
      </w:r>
    </w:p>
    <w:p w14:paraId="476EFAD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3.1.3 出现本条 3.1.2 规定应当停止评标情形的，评标委员会成员应当向招标采购单位书面说明情况。除本条规定和评标委员会无法依法组建的情形外，评标委员会成员不得以任何方式和理由停止评标。</w:t>
      </w:r>
    </w:p>
    <w:p w14:paraId="1DCCD6C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符合性检查。</w:t>
      </w:r>
    </w:p>
    <w:p w14:paraId="60E4859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40D4B62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 投标文件(包括单独递交的开标一览表)有下列情形的，本项目不作为实质性要求进行规定，即不作为符合性审查事项，不得作为无效投标处理：</w:t>
      </w:r>
    </w:p>
    <w:p w14:paraId="53BE877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3.2.2.1 存在个别地方(不超过2个)没有法定代表人(负责人)签字，但有法定代表人(负责人)的私人印章或者有效授权代理人签字的；</w:t>
      </w:r>
    </w:p>
    <w:p w14:paraId="4E17AB8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3.2.2.2 除招标文件明确要求加盖单位(法人)公章的以外，其他地方以相关专用章加盖的；</w:t>
      </w:r>
    </w:p>
    <w:p w14:paraId="79D34D9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3.2.2.3 以骑缝章的形式代替投标文件内容逐页盖章的(但是骑缝章模糊不清，印章名称无法辨认的除外)；</w:t>
      </w:r>
    </w:p>
    <w:p w14:paraId="794240E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3.2.2.4 其他不影响采购项目实质性要求的情形。</w:t>
      </w:r>
    </w:p>
    <w:p w14:paraId="04CDDE0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 除政府采购法律制度规定的情形外，本项目投标人或者其投标文件有下列情形之一的，作为无效投标处理：</w:t>
      </w:r>
    </w:p>
    <w:p w14:paraId="1632B04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3.2.3.1 投标文件正副本数量不足的；</w:t>
      </w:r>
    </w:p>
    <w:p w14:paraId="3ECCFEF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3.2.3.2 投标文件未按照招标文件要求签署、盖章的；</w:t>
      </w:r>
    </w:p>
    <w:p w14:paraId="64F1782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3.2.3.3 投标文件组成明显不符合招标文件的规定要求，影响评标委员会评判的；</w:t>
      </w:r>
    </w:p>
    <w:p w14:paraId="2CBF69E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3.2.3.4 投标文件的格式、语言、计量单位、报价货币、知识产权、投标有效期等不符合招标文件的规定，影响评标委员会评判的；</w:t>
      </w:r>
    </w:p>
    <w:p w14:paraId="1BBC078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3.2.3.5 投标报价不符合招标文件规定的价格标底和其他报价规定的；</w:t>
      </w:r>
    </w:p>
    <w:p w14:paraId="5F8619B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3.2.3.6 技术应答内容没有完全响应招标文件的实质性要求的；</w:t>
      </w:r>
    </w:p>
    <w:p w14:paraId="49C1D2E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3.2.3.7 招标文件有明确要求，但投标文件未载明或者载明的采购项目履约时间、方式、数量与招标文件要求不一致的；</w:t>
      </w:r>
    </w:p>
    <w:p w14:paraId="53263F2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3.2.3.8 投标文件含有招标人不能接受的附加条件的。</w:t>
      </w:r>
    </w:p>
    <w:p w14:paraId="5E1CF57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比较与评价。按招标文件中规定的评标方法和标准，对未作无效投标处理的投标文件进行技术、服务、商务等方面评估，综合比较与评价。</w:t>
      </w:r>
    </w:p>
    <w:p w14:paraId="2F1F24C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 复核。评分汇总结束后，评标委员会应当进行复核，特别要对拟推荐为中标候选人的、报价最低的、投标文件被认定为无效的进行重点复核。</w:t>
      </w:r>
    </w:p>
    <w:p w14:paraId="2A283CA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 推荐三名中标候选人。中标候选人应当排序。</w:t>
      </w:r>
    </w:p>
    <w:p w14:paraId="1AF26887">
      <w:pPr>
        <w:spacing w:line="24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采用综合评分法的，按投标人评审得分从高到低顺序排列；投标文件满足招标文件全部实质性要求，且按照评审因素的量化指标评审得分最高的投标人为排名第一的中标候选人。综合得分相同的，价格低者排名优先。综合得分且报价相同的，按照技术/服务方案优劣顺序推荐。中标候选人并列的，由评标委员会根据招标文件规定的推荐中标候选人数量，在排名并列的中标候选人中，采取随机抽取的方式确定中标候选人排名顺序。 </w:t>
      </w:r>
    </w:p>
    <w:p w14:paraId="3AFEBEDA">
      <w:pPr>
        <w:spacing w:line="24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本项目的采购包涉及核心产品的，在按投标人评审得分从高到低顺序排列环节前，对提供相同品牌产品且通过资格审查、符合性审查的不同投标人参加同一合同项下投标的，按一家投标人计算（任意一个核心产品是相同品牌时视为提供相同品牌产品的投标人），评审后得分最高的同品牌投标人获得中标人推荐资格；评审得分相同的，由评标委员会采取随机抽取方式确定一个投标人获得中标人推荐资格，其他同品牌投标人不作为中标候选人。</w:t>
      </w:r>
    </w:p>
    <w:p w14:paraId="62BAB0D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可推荐的中标候选人数量不能满足招标文件规定的数量的，只有在获得招标人书面同意后，可以根据实际情况推荐中标候选供应商。未获得招标人的书面同意,评标委员会不得在招标文件规定之外推荐中标候选人，否则，招标人可以不予认可。</w:t>
      </w:r>
    </w:p>
    <w:p w14:paraId="0967539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 出具评标报告。评标委员会推荐中标候选人后，应当向招标采购单位出具评标报告。评标报告应当包括下列内容：</w:t>
      </w:r>
    </w:p>
    <w:p w14:paraId="4A8AB0D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3.6.1 招标公告刊登的媒体名称、开标日期和地点；</w:t>
      </w:r>
    </w:p>
    <w:p w14:paraId="420BC6B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3.6.2 获取招标文件的投标人名单和评标委员会成员名单；</w:t>
      </w:r>
    </w:p>
    <w:p w14:paraId="2B5273C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3.6.3 评标方法和标准；</w:t>
      </w:r>
    </w:p>
    <w:p w14:paraId="604EB3C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3.6.4 开标记录和评标情况及说明，包括无效投标人名单及原因；</w:t>
      </w:r>
    </w:p>
    <w:p w14:paraId="4D4E7F3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3.6.5 评标结果和中标候选供应商排序表；</w:t>
      </w:r>
    </w:p>
    <w:p w14:paraId="1AF0842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3.6.6 评标委员会授标建议；</w:t>
      </w:r>
    </w:p>
    <w:p w14:paraId="1F47EE9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3.6.7 报价最高的投标人为中标候选人的，评标委员会应当对其报价的合理性予以特别说明。</w:t>
      </w:r>
    </w:p>
    <w:p w14:paraId="6268A35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990EE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3.7 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9DA504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 投标人应当书面澄清、说明或者更正。</w:t>
      </w:r>
    </w:p>
    <w:p w14:paraId="49B8722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3.8.1 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02819CE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3.8.2 投标人应当书面澄清、说明或者更正，并加盖公章或签字确认(投标人为法人的，应当由其法定代表人/单位负责人或者授权代表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295E599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 评标委员会要求投标人澄清、说明或者更正，不得超出招标文件的范围，不得以此让投标人实质改变投标文件的内容，不得影响投标人公平竞争。本项目下列内容不得澄清：</w:t>
      </w:r>
    </w:p>
    <w:p w14:paraId="19ECD11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3.8.3.1 按财政部规定应当在评标时不予承认的投标文件内容事项；</w:t>
      </w:r>
    </w:p>
    <w:p w14:paraId="1A8B01D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3.8.3.2 投标文件中已经明确的内容事项；</w:t>
      </w:r>
    </w:p>
    <w:p w14:paraId="44C687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3.8.3.3 投标文件未提供的材料。</w:t>
      </w:r>
    </w:p>
    <w:p w14:paraId="5D3D7B3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 本项目采购过程中，投标文件出现下列情况的，按照下列规定修正：</w:t>
      </w:r>
    </w:p>
    <w:p w14:paraId="2CFE843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3.8.4.1 投标文件中开标一览表(报价表)内容与投标文件中</w:t>
      </w:r>
      <w:r>
        <w:rPr>
          <w:rFonts w:hint="eastAsia" w:ascii="宋体" w:hAnsi="宋体" w:eastAsia="宋体" w:cs="宋体"/>
          <w:color w:val="auto"/>
          <w:spacing w:val="6"/>
          <w:sz w:val="24"/>
          <w:szCs w:val="24"/>
          <w:highlight w:val="none"/>
          <w:lang w:val="en-US" w:eastAsia="zh-CN"/>
        </w:rPr>
        <w:t>相应</w:t>
      </w:r>
      <w:r>
        <w:rPr>
          <w:rFonts w:hint="eastAsia" w:ascii="宋体" w:hAnsi="宋体" w:eastAsia="宋体" w:cs="宋体"/>
          <w:color w:val="auto"/>
          <w:spacing w:val="6"/>
          <w:sz w:val="24"/>
          <w:szCs w:val="24"/>
          <w:highlight w:val="none"/>
        </w:rPr>
        <w:t>内容不一致的，以开标一览表(报价表)为准；</w:t>
      </w:r>
    </w:p>
    <w:p w14:paraId="437AF45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3.8.4.2 大写金额和小写金额不一致的，以大写金额为准；</w:t>
      </w:r>
    </w:p>
    <w:p w14:paraId="7123922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3.8.4.3 单价金额小数点或者百分比有明显错位的，以开标一览表的总价为准，并修改单价；</w:t>
      </w:r>
    </w:p>
    <w:p w14:paraId="5C9616B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3.8.4.4 总价金额与按单价汇总金额不一致的，以单价金额计算结果为准。</w:t>
      </w:r>
    </w:p>
    <w:p w14:paraId="47A9647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出现3.8.4.4规定情形，单价汇总金额比总价金额高，且超过采购预算或者本项目最高限价的，投标人投标文件应作为无效投标处理；单价汇总金额比总价金额高，但未超过采购预算或者本项目最高限价的，应以单价汇总金额作为价格评分依据。</w:t>
      </w:r>
    </w:p>
    <w:p w14:paraId="06E05D0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同时出现两种以上不一致的，按照前款规定的顺序修正。修正后的报价经投标人确认后产生约束力，投标人不确认的，其投标无效。</w:t>
      </w:r>
    </w:p>
    <w:p w14:paraId="15B93E33">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注：评标委员会当积极履行澄清、说明或者更正的职责，不得滥用权力。投标人的投标文件可以要求澄清、说明或者更正的，不得未经澄清、说明或者更正而直接作无效投标处理。</w:t>
      </w:r>
    </w:p>
    <w:p w14:paraId="0DB0E9A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3068A0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书面说明应当签字确认或者加盖公章，否则无效。书面说明的签字确认，投标人为法人的，由其法定代表人或其授权代表签字确认；投标人为其他组织的，由其主要负责人或其授权代表签字确认；投标人为自然人的，由其本人或其授权代表签字确认。</w:t>
      </w:r>
    </w:p>
    <w:p w14:paraId="6997169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715B98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3.10招标采购单位现场复核评标结果。</w:t>
      </w:r>
    </w:p>
    <w:p w14:paraId="7F77736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020D6D4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3.10.1.1分值汇总计算错误的；</w:t>
      </w:r>
    </w:p>
    <w:p w14:paraId="5575DF5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3.10.1.2分项评分超出评分标准范围的；</w:t>
      </w:r>
    </w:p>
    <w:p w14:paraId="20D9FE1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3.10.1.3评标委员会成员对客观评审因素评分不一致的；</w:t>
      </w:r>
    </w:p>
    <w:p w14:paraId="2048A82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3.10.1.4经评标委员会认定评分畸高、畸低的。</w:t>
      </w:r>
    </w:p>
    <w:p w14:paraId="5A3F2E0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w:t>
      </w:r>
    </w:p>
    <w:p w14:paraId="2FB65D7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3.10.2有下列情形之一的，不得修改评标结果或者重新评标：</w:t>
      </w:r>
    </w:p>
    <w:p w14:paraId="205D5F2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3.10.2.1评标委员会已经出具评标报告并且离开评标现场的；</w:t>
      </w:r>
    </w:p>
    <w:p w14:paraId="7069A5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3.10.2.2招标采购单位现场复核时，复核工作人员数量不足的；</w:t>
      </w:r>
    </w:p>
    <w:p w14:paraId="54BD32E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3.10.2.3招标采购单位现场复核时，没有采购监督人员现场监督的；</w:t>
      </w:r>
    </w:p>
    <w:p w14:paraId="245D3AE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3.10.2.4招标采购单位现场复核内容超出规定范围的；</w:t>
      </w:r>
    </w:p>
    <w:p w14:paraId="17B3647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3.10.2.5招标采购单位未提供书面建议的。 </w:t>
      </w:r>
    </w:p>
    <w:p w14:paraId="631686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评标细则及标准</w:t>
      </w:r>
    </w:p>
    <w:p w14:paraId="665AC43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3.11.1 本次综合评分的因素是：详见“综合评分明细表”。</w:t>
      </w:r>
    </w:p>
    <w:p w14:paraId="6E0066B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 综合评分明细表</w:t>
      </w:r>
    </w:p>
    <w:p w14:paraId="31360A3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3.11.3.1 综合评分明细表的制定以科学合理、降低评委会自由裁量权为原则。</w:t>
      </w:r>
    </w:p>
    <w:p w14:paraId="0AD4F20A">
      <w:pPr>
        <w:spacing w:line="240" w:lineRule="auto"/>
        <w:ind w:firstLine="504" w:firstLineChars="200"/>
        <w:rPr>
          <w:rFonts w:ascii="宋体" w:hAnsi="宋体" w:eastAsia="宋体" w:cs="宋体"/>
          <w:b/>
          <w:bCs/>
          <w:color w:val="auto"/>
          <w:spacing w:val="6"/>
          <w:sz w:val="28"/>
          <w:szCs w:val="28"/>
          <w:highlight w:val="none"/>
        </w:rPr>
      </w:pPr>
      <w:r>
        <w:rPr>
          <w:rFonts w:hint="eastAsia" w:ascii="宋体" w:hAnsi="宋体" w:eastAsia="宋体" w:cs="宋体"/>
          <w:color w:val="auto"/>
          <w:spacing w:val="6"/>
          <w:sz w:val="24"/>
          <w:szCs w:val="24"/>
          <w:highlight w:val="none"/>
        </w:rPr>
        <w:t>3.11.3.2 综合评分明细表</w:t>
      </w:r>
    </w:p>
    <w:p w14:paraId="126C84A7">
      <w:pPr>
        <w:pStyle w:val="2"/>
        <w:spacing w:line="240" w:lineRule="auto"/>
        <w:rPr>
          <w:color w:val="auto"/>
          <w:highlight w:val="none"/>
        </w:rPr>
      </w:pPr>
    </w:p>
    <w:p w14:paraId="1BEF7917">
      <w:pPr>
        <w:spacing w:line="240" w:lineRule="auto"/>
        <w:jc w:val="center"/>
        <w:outlineLvl w:val="9"/>
        <w:rPr>
          <w:rFonts w:ascii="宋体" w:hAnsi="宋体" w:eastAsia="宋体" w:cs="宋体"/>
          <w:b/>
          <w:bCs/>
          <w:color w:val="auto"/>
          <w:spacing w:val="6"/>
          <w:sz w:val="28"/>
          <w:szCs w:val="28"/>
          <w:highlight w:val="none"/>
        </w:rPr>
      </w:pPr>
      <w:bookmarkStart w:id="177" w:name="_Toc13872"/>
      <w:bookmarkStart w:id="178" w:name="_Toc22288"/>
      <w:r>
        <w:rPr>
          <w:rFonts w:hint="eastAsia" w:ascii="宋体" w:hAnsi="宋体" w:eastAsia="宋体" w:cs="宋体"/>
          <w:b/>
          <w:bCs/>
          <w:color w:val="auto"/>
          <w:spacing w:val="6"/>
          <w:sz w:val="28"/>
          <w:szCs w:val="28"/>
          <w:highlight w:val="none"/>
        </w:rPr>
        <w:t>综合评分明细表</w:t>
      </w:r>
      <w:bookmarkEnd w:id="177"/>
      <w:bookmarkEnd w:id="178"/>
    </w:p>
    <w:tbl>
      <w:tblPr>
        <w:tblStyle w:val="1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75"/>
        <w:gridCol w:w="941"/>
        <w:gridCol w:w="5925"/>
        <w:gridCol w:w="967"/>
      </w:tblGrid>
      <w:tr w14:paraId="4CA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0" w:type="dxa"/>
            <w:noWrap w:val="0"/>
            <w:vAlign w:val="center"/>
          </w:tcPr>
          <w:p w14:paraId="5D64CADB">
            <w:pPr>
              <w:pStyle w:val="48"/>
              <w:adjustRightInd w:val="0"/>
              <w:snapToGrid w:val="0"/>
              <w:ind w:left="10" w:leftChars="5"/>
              <w:rPr>
                <w:rFonts w:cs="宋体"/>
                <w:b/>
                <w:bCs/>
                <w:sz w:val="24"/>
                <w:szCs w:val="24"/>
                <w:highlight w:val="none"/>
              </w:rPr>
            </w:pPr>
            <w:r>
              <w:rPr>
                <w:rFonts w:hint="eastAsia" w:cs="宋体"/>
                <w:b/>
                <w:bCs/>
                <w:sz w:val="24"/>
                <w:szCs w:val="24"/>
                <w:highlight w:val="none"/>
              </w:rPr>
              <w:t>序号</w:t>
            </w:r>
          </w:p>
        </w:tc>
        <w:tc>
          <w:tcPr>
            <w:tcW w:w="1075" w:type="dxa"/>
            <w:noWrap w:val="0"/>
            <w:vAlign w:val="center"/>
          </w:tcPr>
          <w:p w14:paraId="1E98635B">
            <w:pPr>
              <w:pStyle w:val="48"/>
              <w:adjustRightInd w:val="0"/>
              <w:snapToGrid w:val="0"/>
              <w:ind w:left="10" w:leftChars="5"/>
              <w:rPr>
                <w:rFonts w:cs="宋体"/>
                <w:b/>
                <w:bCs/>
                <w:sz w:val="24"/>
                <w:szCs w:val="24"/>
                <w:highlight w:val="none"/>
              </w:rPr>
            </w:pPr>
            <w:r>
              <w:rPr>
                <w:rFonts w:hint="eastAsia" w:cs="宋体"/>
                <w:b/>
                <w:bCs/>
                <w:sz w:val="24"/>
                <w:szCs w:val="24"/>
                <w:highlight w:val="none"/>
              </w:rPr>
              <w:t>评分因素</w:t>
            </w:r>
          </w:p>
          <w:p w14:paraId="68D41F56">
            <w:pPr>
              <w:pStyle w:val="48"/>
              <w:adjustRightInd w:val="0"/>
              <w:snapToGrid w:val="0"/>
              <w:ind w:left="10" w:leftChars="5"/>
              <w:rPr>
                <w:rFonts w:cs="宋体"/>
                <w:b/>
                <w:bCs/>
                <w:sz w:val="24"/>
                <w:szCs w:val="24"/>
                <w:highlight w:val="none"/>
              </w:rPr>
            </w:pPr>
            <w:r>
              <w:rPr>
                <w:rFonts w:hint="eastAsia" w:cs="宋体"/>
                <w:b/>
                <w:bCs/>
                <w:sz w:val="24"/>
                <w:szCs w:val="24"/>
                <w:highlight w:val="none"/>
              </w:rPr>
              <w:t>及权重</w:t>
            </w:r>
          </w:p>
        </w:tc>
        <w:tc>
          <w:tcPr>
            <w:tcW w:w="941" w:type="dxa"/>
            <w:noWrap w:val="0"/>
            <w:vAlign w:val="center"/>
          </w:tcPr>
          <w:p w14:paraId="30F106C4">
            <w:pPr>
              <w:pStyle w:val="48"/>
              <w:adjustRightInd w:val="0"/>
              <w:snapToGrid w:val="0"/>
              <w:ind w:left="10" w:leftChars="5"/>
              <w:rPr>
                <w:rFonts w:cs="宋体"/>
                <w:b/>
                <w:bCs/>
                <w:sz w:val="24"/>
                <w:szCs w:val="24"/>
                <w:highlight w:val="none"/>
              </w:rPr>
            </w:pPr>
            <w:r>
              <w:rPr>
                <w:rFonts w:hint="eastAsia" w:cs="宋体"/>
                <w:b/>
                <w:bCs/>
                <w:sz w:val="24"/>
                <w:szCs w:val="24"/>
                <w:highlight w:val="none"/>
              </w:rPr>
              <w:t>分值</w:t>
            </w:r>
          </w:p>
        </w:tc>
        <w:tc>
          <w:tcPr>
            <w:tcW w:w="5925" w:type="dxa"/>
            <w:noWrap w:val="0"/>
            <w:vAlign w:val="center"/>
          </w:tcPr>
          <w:p w14:paraId="186A9079">
            <w:pPr>
              <w:pStyle w:val="48"/>
              <w:adjustRightInd w:val="0"/>
              <w:snapToGrid w:val="0"/>
              <w:ind w:left="10" w:leftChars="5"/>
              <w:rPr>
                <w:rFonts w:cs="宋体"/>
                <w:sz w:val="24"/>
                <w:szCs w:val="24"/>
                <w:highlight w:val="none"/>
              </w:rPr>
            </w:pPr>
            <w:r>
              <w:rPr>
                <w:rFonts w:hint="eastAsia" w:cs="宋体"/>
                <w:b/>
                <w:bCs/>
                <w:sz w:val="24"/>
                <w:szCs w:val="24"/>
                <w:highlight w:val="none"/>
              </w:rPr>
              <w:t>评分标准</w:t>
            </w:r>
          </w:p>
        </w:tc>
        <w:tc>
          <w:tcPr>
            <w:tcW w:w="967" w:type="dxa"/>
            <w:noWrap w:val="0"/>
            <w:vAlign w:val="center"/>
          </w:tcPr>
          <w:p w14:paraId="4365E372">
            <w:pPr>
              <w:pStyle w:val="48"/>
              <w:adjustRightInd w:val="0"/>
              <w:snapToGrid w:val="0"/>
              <w:ind w:left="10" w:leftChars="5"/>
              <w:rPr>
                <w:rFonts w:cs="宋体"/>
                <w:b/>
                <w:bCs/>
                <w:sz w:val="24"/>
                <w:szCs w:val="24"/>
                <w:highlight w:val="none"/>
              </w:rPr>
            </w:pPr>
            <w:r>
              <w:rPr>
                <w:rFonts w:hint="eastAsia" w:cs="宋体"/>
                <w:b/>
                <w:bCs/>
                <w:sz w:val="24"/>
                <w:szCs w:val="24"/>
                <w:highlight w:val="none"/>
              </w:rPr>
              <w:t>说 明</w:t>
            </w:r>
          </w:p>
        </w:tc>
      </w:tr>
      <w:tr w14:paraId="6FD7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750" w:type="dxa"/>
            <w:noWrap w:val="0"/>
            <w:vAlign w:val="center"/>
          </w:tcPr>
          <w:p w14:paraId="3A6E66B8">
            <w:pPr>
              <w:pStyle w:val="48"/>
              <w:adjustRightInd w:val="0"/>
              <w:snapToGrid w:val="0"/>
              <w:ind w:left="10" w:leftChars="5"/>
              <w:rPr>
                <w:rFonts w:cs="宋体"/>
                <w:sz w:val="24"/>
                <w:szCs w:val="24"/>
                <w:highlight w:val="none"/>
              </w:rPr>
            </w:pPr>
            <w:r>
              <w:rPr>
                <w:rFonts w:hint="eastAsia" w:cs="宋体"/>
                <w:sz w:val="24"/>
                <w:szCs w:val="24"/>
                <w:highlight w:val="none"/>
              </w:rPr>
              <w:t>一</w:t>
            </w:r>
          </w:p>
        </w:tc>
        <w:tc>
          <w:tcPr>
            <w:tcW w:w="1075" w:type="dxa"/>
            <w:noWrap w:val="0"/>
            <w:vAlign w:val="center"/>
          </w:tcPr>
          <w:p w14:paraId="6793A615">
            <w:pPr>
              <w:pStyle w:val="48"/>
              <w:adjustRightInd w:val="0"/>
              <w:snapToGrid w:val="0"/>
              <w:ind w:left="10" w:leftChars="5"/>
              <w:rPr>
                <w:rFonts w:cs="宋体"/>
                <w:sz w:val="24"/>
                <w:szCs w:val="24"/>
                <w:highlight w:val="none"/>
              </w:rPr>
            </w:pPr>
            <w:r>
              <w:rPr>
                <w:rFonts w:hint="eastAsia" w:cs="宋体"/>
                <w:sz w:val="24"/>
                <w:szCs w:val="24"/>
                <w:highlight w:val="none"/>
              </w:rPr>
              <w:t>管理方案</w:t>
            </w:r>
            <w:r>
              <w:rPr>
                <w:rFonts w:hint="eastAsia" w:cs="宋体"/>
                <w:sz w:val="24"/>
                <w:szCs w:val="24"/>
                <w:highlight w:val="none"/>
                <w:lang w:val="en-US" w:eastAsia="zh-CN"/>
              </w:rPr>
              <w:t>30</w:t>
            </w:r>
            <w:r>
              <w:rPr>
                <w:rFonts w:hint="eastAsia" w:cs="宋体"/>
                <w:sz w:val="24"/>
                <w:szCs w:val="24"/>
                <w:highlight w:val="none"/>
              </w:rPr>
              <w:t>%</w:t>
            </w:r>
          </w:p>
        </w:tc>
        <w:tc>
          <w:tcPr>
            <w:tcW w:w="941" w:type="dxa"/>
            <w:noWrap w:val="0"/>
            <w:vAlign w:val="center"/>
          </w:tcPr>
          <w:p w14:paraId="3072A77E">
            <w:pPr>
              <w:pStyle w:val="48"/>
              <w:adjustRightInd w:val="0"/>
              <w:snapToGrid w:val="0"/>
              <w:ind w:left="10" w:leftChars="5"/>
              <w:rPr>
                <w:rFonts w:cs="宋体"/>
                <w:sz w:val="24"/>
                <w:szCs w:val="24"/>
                <w:highlight w:val="none"/>
              </w:rPr>
            </w:pPr>
            <w:r>
              <w:rPr>
                <w:rFonts w:hint="eastAsia" w:cs="宋体"/>
                <w:sz w:val="24"/>
                <w:szCs w:val="24"/>
                <w:highlight w:val="none"/>
                <w:lang w:val="en-US" w:eastAsia="zh-CN"/>
              </w:rPr>
              <w:t>30</w:t>
            </w:r>
            <w:r>
              <w:rPr>
                <w:rFonts w:hint="eastAsia" w:cs="宋体"/>
                <w:sz w:val="24"/>
                <w:szCs w:val="24"/>
                <w:highlight w:val="none"/>
              </w:rPr>
              <w:t>分</w:t>
            </w:r>
          </w:p>
        </w:tc>
        <w:tc>
          <w:tcPr>
            <w:tcW w:w="5925" w:type="dxa"/>
            <w:noWrap w:val="0"/>
            <w:vAlign w:val="center"/>
          </w:tcPr>
          <w:p w14:paraId="53E99830">
            <w:pPr>
              <w:pStyle w:val="49"/>
              <w:adjustRightInd w:val="0"/>
              <w:snapToGrid w:val="0"/>
              <w:ind w:left="10" w:leftChars="5"/>
              <w:rPr>
                <w:rFonts w:ascii="宋体" w:hAnsi="宋体" w:eastAsia="宋体" w:cs="宋体"/>
                <w:sz w:val="24"/>
                <w:szCs w:val="24"/>
                <w:highlight w:val="none"/>
              </w:rPr>
            </w:pPr>
            <w:r>
              <w:rPr>
                <w:rFonts w:hint="eastAsia" w:ascii="宋体" w:hAnsi="宋体" w:eastAsia="宋体" w:cs="宋体"/>
                <w:sz w:val="24"/>
                <w:szCs w:val="24"/>
                <w:highlight w:val="none"/>
              </w:rPr>
              <w:t>投标人针对本项目提供的管理方案</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包括：①进货查验；②仓储管理；③加工制作；④售卖服务；⑤清洗消毒；⑥食品添加剂管理；⑦食品留样；⑧餐厨废弃物处置管理；⑨从业人员健康管理；⑩投诉受理措施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以上</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项内容完整且符合项目要求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无缺陷的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在此基础上，每缺少一项内容</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项内容</w:t>
            </w:r>
            <w:r>
              <w:rPr>
                <w:rFonts w:hint="eastAsia" w:ascii="宋体" w:hAnsi="宋体" w:eastAsia="宋体" w:cs="宋体"/>
                <w:sz w:val="24"/>
                <w:szCs w:val="24"/>
                <w:highlight w:val="none"/>
              </w:rPr>
              <w:t>存在</w:t>
            </w:r>
            <w:r>
              <w:rPr>
                <w:rFonts w:hint="eastAsia" w:ascii="宋体" w:hAnsi="宋体" w:eastAsia="宋体" w:cs="宋体"/>
                <w:sz w:val="24"/>
                <w:szCs w:val="24"/>
                <w:highlight w:val="none"/>
                <w:lang w:val="en-US" w:eastAsia="zh-CN"/>
              </w:rPr>
              <w:t>一处</w:t>
            </w:r>
            <w:r>
              <w:rPr>
                <w:rFonts w:hint="eastAsia" w:ascii="宋体" w:hAnsi="宋体" w:eastAsia="宋体" w:cs="宋体"/>
                <w:sz w:val="24"/>
                <w:szCs w:val="24"/>
                <w:highlight w:val="none"/>
              </w:rPr>
              <w:t>缺陷</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分，每项关于内容缺陷最多扣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扣完为止。</w:t>
            </w:r>
          </w:p>
          <w:p w14:paraId="59F7920F">
            <w:pPr>
              <w:pStyle w:val="49"/>
              <w:adjustRightInd w:val="0"/>
              <w:snapToGrid w:val="0"/>
              <w:ind w:left="10" w:leftChars="5"/>
              <w:rPr>
                <w:rFonts w:ascii="宋体" w:hAnsi="宋体" w:eastAsia="宋体" w:cs="宋体"/>
                <w:sz w:val="24"/>
                <w:szCs w:val="24"/>
                <w:highlight w:val="none"/>
              </w:rPr>
            </w:pPr>
            <w:r>
              <w:rPr>
                <w:rFonts w:hint="eastAsia" w:ascii="宋体" w:hAnsi="宋体" w:eastAsia="宋体" w:cs="宋体"/>
                <w:sz w:val="24"/>
                <w:szCs w:val="24"/>
                <w:highlight w:val="none"/>
              </w:rPr>
              <w:t>说明：内容存在缺陷是指①内容与项目无关或内容与项目不匹配、②项目名称、涉及的规范、技术服务标准要求与本项目不一致、③阐述存在逻辑错误。</w:t>
            </w:r>
          </w:p>
        </w:tc>
        <w:tc>
          <w:tcPr>
            <w:tcW w:w="967" w:type="dxa"/>
            <w:noWrap w:val="0"/>
            <w:vAlign w:val="center"/>
          </w:tcPr>
          <w:p w14:paraId="739EB8FC">
            <w:pPr>
              <w:pStyle w:val="48"/>
              <w:adjustRightInd w:val="0"/>
              <w:snapToGrid w:val="0"/>
              <w:ind w:left="10" w:leftChars="5"/>
              <w:rPr>
                <w:rFonts w:cs="宋体"/>
                <w:sz w:val="24"/>
                <w:szCs w:val="24"/>
                <w:highlight w:val="none"/>
              </w:rPr>
            </w:pPr>
            <w:r>
              <w:rPr>
                <w:rFonts w:hint="eastAsia" w:cs="宋体"/>
                <w:sz w:val="24"/>
                <w:szCs w:val="24"/>
                <w:highlight w:val="none"/>
              </w:rPr>
              <w:t>技术评分因素</w:t>
            </w:r>
          </w:p>
        </w:tc>
      </w:tr>
      <w:tr w14:paraId="0A9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50" w:type="dxa"/>
            <w:noWrap w:val="0"/>
            <w:vAlign w:val="center"/>
          </w:tcPr>
          <w:p w14:paraId="52172F04">
            <w:pPr>
              <w:pStyle w:val="48"/>
              <w:adjustRightInd w:val="0"/>
              <w:snapToGrid w:val="0"/>
              <w:ind w:left="10" w:leftChars="5"/>
              <w:rPr>
                <w:rFonts w:cs="宋体"/>
                <w:sz w:val="24"/>
                <w:szCs w:val="24"/>
                <w:highlight w:val="none"/>
              </w:rPr>
            </w:pPr>
            <w:r>
              <w:rPr>
                <w:rFonts w:hint="eastAsia" w:cs="宋体"/>
                <w:sz w:val="24"/>
                <w:szCs w:val="24"/>
                <w:highlight w:val="none"/>
              </w:rPr>
              <w:t>二</w:t>
            </w:r>
          </w:p>
        </w:tc>
        <w:tc>
          <w:tcPr>
            <w:tcW w:w="1075" w:type="dxa"/>
            <w:noWrap w:val="0"/>
            <w:vAlign w:val="center"/>
          </w:tcPr>
          <w:p w14:paraId="62EBE838">
            <w:pPr>
              <w:pStyle w:val="48"/>
              <w:adjustRightInd w:val="0"/>
              <w:snapToGrid w:val="0"/>
              <w:ind w:left="10" w:leftChars="5"/>
              <w:rPr>
                <w:rFonts w:cs="宋体"/>
                <w:sz w:val="24"/>
                <w:szCs w:val="24"/>
                <w:highlight w:val="none"/>
              </w:rPr>
            </w:pPr>
            <w:r>
              <w:rPr>
                <w:rFonts w:hint="eastAsia" w:cs="宋体"/>
                <w:sz w:val="24"/>
                <w:szCs w:val="24"/>
                <w:highlight w:val="none"/>
              </w:rPr>
              <w:t>应急预案</w:t>
            </w:r>
            <w:r>
              <w:rPr>
                <w:rFonts w:hint="eastAsia" w:cs="宋体"/>
                <w:sz w:val="24"/>
                <w:szCs w:val="24"/>
                <w:highlight w:val="none"/>
                <w:lang w:val="en-US" w:eastAsia="zh-CN"/>
              </w:rPr>
              <w:t>16</w:t>
            </w:r>
            <w:r>
              <w:rPr>
                <w:rFonts w:hint="eastAsia" w:cs="宋体"/>
                <w:sz w:val="24"/>
                <w:szCs w:val="24"/>
                <w:highlight w:val="none"/>
              </w:rPr>
              <w:t>%</w:t>
            </w:r>
          </w:p>
        </w:tc>
        <w:tc>
          <w:tcPr>
            <w:tcW w:w="941" w:type="dxa"/>
            <w:noWrap w:val="0"/>
            <w:vAlign w:val="center"/>
          </w:tcPr>
          <w:p w14:paraId="4088FFBE">
            <w:pPr>
              <w:pStyle w:val="48"/>
              <w:adjustRightInd w:val="0"/>
              <w:snapToGrid w:val="0"/>
              <w:ind w:left="10" w:leftChars="5"/>
              <w:rPr>
                <w:rFonts w:cs="宋体"/>
                <w:sz w:val="24"/>
                <w:szCs w:val="24"/>
                <w:highlight w:val="none"/>
              </w:rPr>
            </w:pPr>
            <w:r>
              <w:rPr>
                <w:rFonts w:hint="eastAsia" w:cs="宋体"/>
                <w:sz w:val="24"/>
                <w:szCs w:val="24"/>
                <w:highlight w:val="none"/>
                <w:lang w:val="en-US" w:eastAsia="zh-CN"/>
              </w:rPr>
              <w:t>16</w:t>
            </w:r>
            <w:r>
              <w:rPr>
                <w:rFonts w:hint="eastAsia" w:cs="宋体"/>
                <w:sz w:val="24"/>
                <w:szCs w:val="24"/>
                <w:highlight w:val="none"/>
              </w:rPr>
              <w:t>分</w:t>
            </w:r>
          </w:p>
        </w:tc>
        <w:tc>
          <w:tcPr>
            <w:tcW w:w="5925" w:type="dxa"/>
            <w:noWrap w:val="0"/>
            <w:vAlign w:val="center"/>
          </w:tcPr>
          <w:p w14:paraId="771B8437">
            <w:pPr>
              <w:tabs>
                <w:tab w:val="left" w:pos="0"/>
              </w:tabs>
              <w:adjustRightInd w:val="0"/>
              <w:snapToGrid w:val="0"/>
              <w:spacing w:line="360" w:lineRule="exact"/>
              <w:ind w:left="10" w:leftChars="5"/>
              <w:rPr>
                <w:rFonts w:ascii="宋体" w:hAnsi="宋体" w:eastAsia="宋体" w:cs="宋体"/>
                <w:snapToGrid w:val="0"/>
                <w:sz w:val="24"/>
                <w:szCs w:val="24"/>
                <w:highlight w:val="none"/>
              </w:rPr>
            </w:pPr>
            <w:r>
              <w:rPr>
                <w:rFonts w:hint="eastAsia" w:ascii="宋体" w:hAnsi="宋体" w:eastAsia="宋体" w:cs="宋体"/>
                <w:snapToGrid w:val="0"/>
                <w:sz w:val="24"/>
                <w:szCs w:val="24"/>
                <w:highlight w:val="none"/>
              </w:rPr>
              <w:t>投标人针对本项目提供的应急预案内容包括：①火灾事故；②断水断电</w:t>
            </w:r>
            <w:r>
              <w:rPr>
                <w:rFonts w:hint="eastAsia" w:ascii="宋体" w:hAnsi="宋体" w:eastAsia="宋体" w:cs="宋体"/>
                <w:snapToGrid w:val="0"/>
                <w:sz w:val="24"/>
                <w:szCs w:val="24"/>
                <w:highlight w:val="none"/>
                <w:lang w:eastAsia="zh-CN"/>
              </w:rPr>
              <w:t>、</w:t>
            </w:r>
            <w:r>
              <w:rPr>
                <w:rFonts w:hint="eastAsia" w:ascii="宋体" w:hAnsi="宋体" w:eastAsia="宋体" w:cs="宋体"/>
                <w:snapToGrid w:val="0"/>
                <w:sz w:val="24"/>
                <w:szCs w:val="24"/>
                <w:highlight w:val="none"/>
                <w:lang w:val="en-US" w:eastAsia="zh-CN"/>
              </w:rPr>
              <w:t>停气</w:t>
            </w:r>
            <w:r>
              <w:rPr>
                <w:rFonts w:hint="eastAsia" w:ascii="宋体" w:hAnsi="宋体" w:eastAsia="宋体" w:cs="宋体"/>
                <w:snapToGrid w:val="0"/>
                <w:sz w:val="24"/>
                <w:szCs w:val="24"/>
                <w:highlight w:val="none"/>
              </w:rPr>
              <w:t>；③突发设施设备异常或故障；④公共卫生事件</w:t>
            </w:r>
            <w:r>
              <w:rPr>
                <w:rFonts w:hint="eastAsia" w:ascii="宋体" w:hAnsi="宋体" w:eastAsia="宋体" w:cs="宋体"/>
                <w:snapToGrid w:val="0"/>
                <w:sz w:val="24"/>
                <w:szCs w:val="24"/>
                <w:highlight w:val="none"/>
                <w:lang w:eastAsia="zh-CN"/>
              </w:rPr>
              <w:t>；</w:t>
            </w:r>
            <w:r>
              <w:rPr>
                <w:rFonts w:hint="eastAsia" w:ascii="宋体" w:hAnsi="宋体" w:eastAsia="宋体" w:cs="宋体"/>
                <w:snapToGrid w:val="0"/>
                <w:sz w:val="24"/>
                <w:szCs w:val="24"/>
                <w:highlight w:val="none"/>
              </w:rPr>
              <w:t>以上</w:t>
            </w:r>
            <w:r>
              <w:rPr>
                <w:rFonts w:hint="eastAsia" w:ascii="宋体" w:hAnsi="宋体" w:eastAsia="宋体" w:cs="宋体"/>
                <w:snapToGrid w:val="0"/>
                <w:sz w:val="24"/>
                <w:szCs w:val="24"/>
                <w:highlight w:val="none"/>
                <w:lang w:eastAsia="zh-CN"/>
              </w:rPr>
              <w:t>4</w:t>
            </w:r>
            <w:r>
              <w:rPr>
                <w:rFonts w:hint="eastAsia" w:ascii="宋体" w:hAnsi="宋体" w:eastAsia="宋体" w:cs="宋体"/>
                <w:snapToGrid w:val="0"/>
                <w:sz w:val="24"/>
                <w:szCs w:val="24"/>
                <w:highlight w:val="none"/>
              </w:rPr>
              <w:t>项内容完整且符合项目要求、无缺陷的得</w:t>
            </w:r>
            <w:r>
              <w:rPr>
                <w:rFonts w:hint="eastAsia" w:ascii="宋体" w:hAnsi="宋体" w:eastAsia="宋体" w:cs="宋体"/>
                <w:snapToGrid w:val="0"/>
                <w:sz w:val="24"/>
                <w:szCs w:val="24"/>
                <w:highlight w:val="none"/>
                <w:lang w:val="en-US" w:eastAsia="zh-CN"/>
              </w:rPr>
              <w:t>16</w:t>
            </w:r>
            <w:r>
              <w:rPr>
                <w:rFonts w:hint="eastAsia" w:ascii="宋体" w:hAnsi="宋体" w:eastAsia="宋体" w:cs="宋体"/>
                <w:snapToGrid w:val="0"/>
                <w:sz w:val="24"/>
                <w:szCs w:val="24"/>
                <w:highlight w:val="none"/>
              </w:rPr>
              <w:t>分；在此基础上，每缺少一项内容扣</w:t>
            </w:r>
            <w:r>
              <w:rPr>
                <w:rFonts w:hint="eastAsia" w:ascii="宋体" w:hAnsi="宋体" w:eastAsia="宋体" w:cs="宋体"/>
                <w:snapToGrid w:val="0"/>
                <w:sz w:val="24"/>
                <w:szCs w:val="24"/>
                <w:highlight w:val="none"/>
                <w:lang w:val="en-US" w:eastAsia="zh-CN"/>
              </w:rPr>
              <w:t>4</w:t>
            </w:r>
            <w:r>
              <w:rPr>
                <w:rFonts w:hint="eastAsia" w:ascii="宋体" w:hAnsi="宋体" w:eastAsia="宋体" w:cs="宋体"/>
                <w:snapToGrid w:val="0"/>
                <w:sz w:val="24"/>
                <w:szCs w:val="24"/>
                <w:highlight w:val="none"/>
              </w:rPr>
              <w:t>分，每项内容存在一处缺陷的扣</w:t>
            </w:r>
            <w:r>
              <w:rPr>
                <w:rFonts w:hint="eastAsia" w:ascii="宋体" w:hAnsi="宋体" w:eastAsia="宋体" w:cs="宋体"/>
                <w:snapToGrid w:val="0"/>
                <w:sz w:val="24"/>
                <w:szCs w:val="24"/>
                <w:highlight w:val="none"/>
                <w:lang w:val="en-US" w:eastAsia="zh-CN"/>
              </w:rPr>
              <w:t>2</w:t>
            </w:r>
            <w:r>
              <w:rPr>
                <w:rFonts w:hint="eastAsia" w:ascii="宋体" w:hAnsi="宋体" w:eastAsia="宋体" w:cs="宋体"/>
                <w:snapToGrid w:val="0"/>
                <w:sz w:val="24"/>
                <w:szCs w:val="24"/>
                <w:highlight w:val="none"/>
              </w:rPr>
              <w:t>分，每项关于内容缺陷最多扣</w:t>
            </w:r>
            <w:r>
              <w:rPr>
                <w:rFonts w:hint="eastAsia" w:ascii="宋体" w:hAnsi="宋体" w:eastAsia="宋体" w:cs="宋体"/>
                <w:snapToGrid w:val="0"/>
                <w:sz w:val="24"/>
                <w:szCs w:val="24"/>
                <w:highlight w:val="none"/>
                <w:lang w:val="en-US" w:eastAsia="zh-CN"/>
              </w:rPr>
              <w:t>4</w:t>
            </w:r>
            <w:r>
              <w:rPr>
                <w:rFonts w:hint="eastAsia" w:ascii="宋体" w:hAnsi="宋体" w:eastAsia="宋体" w:cs="宋体"/>
                <w:snapToGrid w:val="0"/>
                <w:sz w:val="24"/>
                <w:szCs w:val="24"/>
                <w:highlight w:val="none"/>
              </w:rPr>
              <w:t>分；扣完为止。</w:t>
            </w:r>
          </w:p>
          <w:p w14:paraId="2E41151D">
            <w:pPr>
              <w:tabs>
                <w:tab w:val="left" w:pos="0"/>
              </w:tabs>
              <w:adjustRightInd w:val="0"/>
              <w:snapToGrid w:val="0"/>
              <w:spacing w:line="360" w:lineRule="exact"/>
              <w:ind w:left="10" w:leftChars="5"/>
              <w:rPr>
                <w:rFonts w:ascii="宋体" w:hAnsi="宋体" w:eastAsia="宋体" w:cs="宋体"/>
                <w:snapToGrid w:val="0"/>
                <w:sz w:val="24"/>
                <w:szCs w:val="24"/>
                <w:highlight w:val="none"/>
              </w:rPr>
            </w:pPr>
            <w:r>
              <w:rPr>
                <w:rFonts w:hint="eastAsia" w:ascii="宋体" w:hAnsi="宋体" w:eastAsia="宋体" w:cs="宋体"/>
                <w:sz w:val="24"/>
                <w:szCs w:val="24"/>
                <w:highlight w:val="none"/>
              </w:rPr>
              <w:t>说明：内容存在缺陷是指①内容与项目无关或内容与项目不匹配、②项目名称、涉及的规范、技术服务标准要求与本项目不一致、③阐述存在逻辑错误。</w:t>
            </w:r>
          </w:p>
        </w:tc>
        <w:tc>
          <w:tcPr>
            <w:tcW w:w="967" w:type="dxa"/>
            <w:noWrap w:val="0"/>
            <w:vAlign w:val="center"/>
          </w:tcPr>
          <w:p w14:paraId="6D429F35">
            <w:pPr>
              <w:pStyle w:val="48"/>
              <w:adjustRightInd w:val="0"/>
              <w:snapToGrid w:val="0"/>
              <w:ind w:left="10" w:leftChars="5"/>
              <w:rPr>
                <w:rFonts w:cs="宋体"/>
                <w:sz w:val="24"/>
                <w:szCs w:val="24"/>
                <w:highlight w:val="none"/>
              </w:rPr>
            </w:pPr>
            <w:r>
              <w:rPr>
                <w:rFonts w:hint="eastAsia" w:cs="宋体"/>
                <w:sz w:val="24"/>
                <w:szCs w:val="24"/>
                <w:highlight w:val="none"/>
              </w:rPr>
              <w:t>技术评分因素</w:t>
            </w:r>
          </w:p>
        </w:tc>
      </w:tr>
      <w:tr w14:paraId="1C96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50" w:type="dxa"/>
            <w:noWrap w:val="0"/>
            <w:vAlign w:val="center"/>
          </w:tcPr>
          <w:p w14:paraId="56570828">
            <w:pPr>
              <w:pStyle w:val="48"/>
              <w:adjustRightInd w:val="0"/>
              <w:snapToGrid w:val="0"/>
              <w:ind w:left="10" w:leftChars="5"/>
              <w:rPr>
                <w:rFonts w:hint="eastAsia" w:eastAsia="宋体" w:cs="宋体"/>
                <w:sz w:val="24"/>
                <w:szCs w:val="24"/>
                <w:highlight w:val="none"/>
                <w:lang w:eastAsia="zh-CN"/>
              </w:rPr>
            </w:pPr>
            <w:r>
              <w:rPr>
                <w:rFonts w:hint="eastAsia" w:cs="宋体"/>
                <w:sz w:val="24"/>
                <w:szCs w:val="24"/>
                <w:highlight w:val="none"/>
                <w:lang w:val="en-US" w:eastAsia="zh-CN"/>
              </w:rPr>
              <w:t>三</w:t>
            </w:r>
          </w:p>
        </w:tc>
        <w:tc>
          <w:tcPr>
            <w:tcW w:w="1075" w:type="dxa"/>
            <w:noWrap w:val="0"/>
            <w:vAlign w:val="center"/>
          </w:tcPr>
          <w:p w14:paraId="739D141B">
            <w:pPr>
              <w:pStyle w:val="48"/>
              <w:adjustRightInd w:val="0"/>
              <w:snapToGrid w:val="0"/>
              <w:ind w:left="10" w:leftChars="5"/>
              <w:rPr>
                <w:rFonts w:cs="宋体"/>
                <w:sz w:val="24"/>
                <w:szCs w:val="24"/>
                <w:highlight w:val="none"/>
              </w:rPr>
            </w:pPr>
            <w:r>
              <w:rPr>
                <w:rFonts w:hint="eastAsia" w:cs="宋体"/>
                <w:sz w:val="24"/>
                <w:szCs w:val="24"/>
                <w:highlight w:val="none"/>
              </w:rPr>
              <w:t>履约经验</w:t>
            </w:r>
          </w:p>
          <w:p w14:paraId="2C53F8BA">
            <w:pPr>
              <w:pStyle w:val="48"/>
              <w:adjustRightInd w:val="0"/>
              <w:snapToGrid w:val="0"/>
              <w:ind w:left="10" w:leftChars="5"/>
              <w:rPr>
                <w:rFonts w:cs="宋体"/>
                <w:sz w:val="24"/>
                <w:szCs w:val="24"/>
                <w:highlight w:val="none"/>
              </w:rPr>
            </w:pPr>
            <w:r>
              <w:rPr>
                <w:rFonts w:hint="eastAsia" w:cs="宋体"/>
                <w:sz w:val="24"/>
                <w:szCs w:val="24"/>
                <w:highlight w:val="none"/>
              </w:rPr>
              <w:t>15%</w:t>
            </w:r>
          </w:p>
        </w:tc>
        <w:tc>
          <w:tcPr>
            <w:tcW w:w="941" w:type="dxa"/>
            <w:noWrap w:val="0"/>
            <w:vAlign w:val="center"/>
          </w:tcPr>
          <w:p w14:paraId="7420C531">
            <w:pPr>
              <w:pStyle w:val="48"/>
              <w:adjustRightInd w:val="0"/>
              <w:snapToGrid w:val="0"/>
              <w:ind w:left="10" w:leftChars="5"/>
              <w:rPr>
                <w:rFonts w:cs="宋体"/>
                <w:sz w:val="24"/>
                <w:szCs w:val="24"/>
                <w:highlight w:val="none"/>
              </w:rPr>
            </w:pPr>
            <w:r>
              <w:rPr>
                <w:rFonts w:hint="eastAsia" w:cs="宋体"/>
                <w:sz w:val="24"/>
                <w:szCs w:val="24"/>
                <w:highlight w:val="none"/>
              </w:rPr>
              <w:t>15分</w:t>
            </w:r>
          </w:p>
        </w:tc>
        <w:tc>
          <w:tcPr>
            <w:tcW w:w="5925" w:type="dxa"/>
            <w:noWrap w:val="0"/>
            <w:vAlign w:val="center"/>
          </w:tcPr>
          <w:p w14:paraId="279F4482">
            <w:pPr>
              <w:pStyle w:val="49"/>
              <w:adjustRightInd w:val="0"/>
              <w:snapToGrid w:val="0"/>
              <w:ind w:left="10" w:leftChars="5"/>
              <w:rPr>
                <w:rFonts w:ascii="宋体" w:hAnsi="宋体" w:eastAsia="宋体" w:cs="宋体"/>
                <w:sz w:val="24"/>
                <w:szCs w:val="24"/>
                <w:highlight w:val="none"/>
              </w:rPr>
            </w:pP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年1月1日(含1日)以来每有一个食堂经营项目的得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分，本项最高得15分。</w:t>
            </w:r>
          </w:p>
          <w:p w14:paraId="400BB146">
            <w:pPr>
              <w:pStyle w:val="49"/>
              <w:adjustRightInd w:val="0"/>
              <w:snapToGrid w:val="0"/>
              <w:ind w:left="10" w:leftChars="5"/>
              <w:rPr>
                <w:rFonts w:ascii="宋体" w:hAnsi="宋体" w:eastAsia="宋体" w:cs="宋体"/>
                <w:sz w:val="24"/>
                <w:szCs w:val="24"/>
                <w:highlight w:val="none"/>
              </w:rPr>
            </w:pPr>
            <w:r>
              <w:rPr>
                <w:rFonts w:hint="eastAsia" w:ascii="宋体" w:hAnsi="宋体" w:eastAsia="宋体" w:cs="宋体"/>
                <w:b/>
                <w:bCs/>
                <w:sz w:val="24"/>
                <w:szCs w:val="24"/>
                <w:highlight w:val="none"/>
              </w:rPr>
              <w:t>注：提供合同复印件盖投标人</w:t>
            </w:r>
            <w:r>
              <w:rPr>
                <w:rFonts w:hint="eastAsia" w:ascii="宋体" w:hAnsi="宋体" w:eastAsia="宋体" w:cs="宋体"/>
                <w:b/>
                <w:bCs/>
                <w:sz w:val="24"/>
                <w:szCs w:val="24"/>
                <w:highlight w:val="none"/>
                <w:lang w:val="en-US" w:eastAsia="zh-CN"/>
              </w:rPr>
              <w:t>单位公章</w:t>
            </w:r>
            <w:r>
              <w:rPr>
                <w:rFonts w:hint="eastAsia" w:ascii="宋体" w:hAnsi="宋体" w:eastAsia="宋体" w:cs="宋体"/>
                <w:b/>
                <w:bCs/>
                <w:sz w:val="24"/>
                <w:szCs w:val="24"/>
                <w:highlight w:val="none"/>
              </w:rPr>
              <w:t>。</w:t>
            </w:r>
          </w:p>
        </w:tc>
        <w:tc>
          <w:tcPr>
            <w:tcW w:w="967" w:type="dxa"/>
            <w:noWrap w:val="0"/>
            <w:vAlign w:val="center"/>
          </w:tcPr>
          <w:p w14:paraId="58810B4F">
            <w:pPr>
              <w:pStyle w:val="48"/>
              <w:adjustRightInd w:val="0"/>
              <w:snapToGrid w:val="0"/>
              <w:ind w:left="10" w:leftChars="5"/>
              <w:rPr>
                <w:rFonts w:cs="宋体"/>
                <w:sz w:val="24"/>
                <w:szCs w:val="24"/>
                <w:highlight w:val="none"/>
              </w:rPr>
            </w:pPr>
            <w:r>
              <w:rPr>
                <w:rFonts w:hint="eastAsia" w:cs="宋体"/>
                <w:sz w:val="24"/>
                <w:szCs w:val="24"/>
                <w:highlight w:val="none"/>
              </w:rPr>
              <w:t>共同评分因素</w:t>
            </w:r>
          </w:p>
        </w:tc>
      </w:tr>
      <w:tr w14:paraId="1C7D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50" w:type="dxa"/>
            <w:noWrap w:val="0"/>
            <w:vAlign w:val="center"/>
          </w:tcPr>
          <w:p w14:paraId="6CA8484B">
            <w:pPr>
              <w:pStyle w:val="48"/>
              <w:adjustRightInd w:val="0"/>
              <w:snapToGrid w:val="0"/>
              <w:ind w:left="10" w:leftChars="5"/>
              <w:rPr>
                <w:rFonts w:hint="eastAsia" w:eastAsia="宋体" w:cs="宋体"/>
                <w:sz w:val="24"/>
                <w:szCs w:val="24"/>
                <w:highlight w:val="none"/>
                <w:lang w:eastAsia="zh-CN"/>
              </w:rPr>
            </w:pPr>
            <w:r>
              <w:rPr>
                <w:rFonts w:hint="eastAsia" w:cs="宋体"/>
                <w:sz w:val="24"/>
                <w:szCs w:val="24"/>
                <w:highlight w:val="none"/>
                <w:lang w:val="en-US" w:eastAsia="zh-CN"/>
              </w:rPr>
              <w:t>四</w:t>
            </w:r>
          </w:p>
        </w:tc>
        <w:tc>
          <w:tcPr>
            <w:tcW w:w="1075" w:type="dxa"/>
            <w:noWrap w:val="0"/>
            <w:vAlign w:val="center"/>
          </w:tcPr>
          <w:p w14:paraId="3CDBE060">
            <w:pPr>
              <w:pStyle w:val="48"/>
              <w:adjustRightInd w:val="0"/>
              <w:snapToGrid w:val="0"/>
              <w:ind w:left="10" w:leftChars="5"/>
              <w:rPr>
                <w:rFonts w:cs="宋体"/>
                <w:sz w:val="24"/>
                <w:szCs w:val="24"/>
                <w:highlight w:val="none"/>
              </w:rPr>
            </w:pPr>
            <w:r>
              <w:rPr>
                <w:rFonts w:hint="eastAsia" w:cs="宋体"/>
                <w:sz w:val="24"/>
                <w:szCs w:val="24"/>
                <w:highlight w:val="none"/>
              </w:rPr>
              <w:t>企业实力24%</w:t>
            </w:r>
          </w:p>
        </w:tc>
        <w:tc>
          <w:tcPr>
            <w:tcW w:w="941" w:type="dxa"/>
            <w:noWrap w:val="0"/>
            <w:vAlign w:val="center"/>
          </w:tcPr>
          <w:p w14:paraId="395BE4A8">
            <w:pPr>
              <w:pStyle w:val="48"/>
              <w:adjustRightInd w:val="0"/>
              <w:snapToGrid w:val="0"/>
              <w:ind w:left="10" w:leftChars="5"/>
              <w:rPr>
                <w:rFonts w:cs="宋体"/>
                <w:sz w:val="24"/>
                <w:szCs w:val="24"/>
                <w:highlight w:val="none"/>
              </w:rPr>
            </w:pPr>
            <w:r>
              <w:rPr>
                <w:rFonts w:hint="eastAsia" w:cs="宋体"/>
                <w:sz w:val="24"/>
                <w:szCs w:val="24"/>
                <w:highlight w:val="none"/>
              </w:rPr>
              <w:t>24分</w:t>
            </w:r>
          </w:p>
        </w:tc>
        <w:tc>
          <w:tcPr>
            <w:tcW w:w="5925" w:type="dxa"/>
            <w:noWrap w:val="0"/>
            <w:vAlign w:val="center"/>
          </w:tcPr>
          <w:p w14:paraId="3C248C39">
            <w:pPr>
              <w:pStyle w:val="48"/>
              <w:adjustRightInd w:val="0"/>
              <w:snapToGrid w:val="0"/>
              <w:ind w:left="10" w:leftChars="5"/>
              <w:jc w:val="left"/>
              <w:rPr>
                <w:rFonts w:cs="宋体"/>
                <w:sz w:val="24"/>
                <w:szCs w:val="24"/>
                <w:highlight w:val="none"/>
              </w:rPr>
            </w:pPr>
            <w:r>
              <w:rPr>
                <w:rFonts w:hint="eastAsia" w:cs="宋体"/>
                <w:sz w:val="24"/>
                <w:szCs w:val="24"/>
                <w:highlight w:val="none"/>
              </w:rPr>
              <w:t>1.投标人经营的食堂项目</w:t>
            </w:r>
            <w:r>
              <w:rPr>
                <w:rFonts w:hint="eastAsia" w:cs="宋体"/>
                <w:sz w:val="24"/>
                <w:szCs w:val="24"/>
                <w:highlight w:val="none"/>
                <w:lang w:eastAsia="zh-CN"/>
              </w:rPr>
              <w:t>中集体或个人</w:t>
            </w:r>
            <w:r>
              <w:rPr>
                <w:rFonts w:hint="eastAsia" w:cs="宋体"/>
                <w:sz w:val="24"/>
                <w:szCs w:val="24"/>
                <w:highlight w:val="none"/>
              </w:rPr>
              <w:t>获得市级相关奖项的每个得2分，获得省级及以上相关奖项的每个得3分，最高得12分。</w:t>
            </w:r>
          </w:p>
          <w:p w14:paraId="0DEDB61C">
            <w:pPr>
              <w:pStyle w:val="48"/>
              <w:adjustRightInd w:val="0"/>
              <w:snapToGrid w:val="0"/>
              <w:ind w:left="10" w:leftChars="5"/>
              <w:jc w:val="left"/>
              <w:rPr>
                <w:rFonts w:cs="宋体"/>
                <w:sz w:val="24"/>
                <w:szCs w:val="24"/>
                <w:highlight w:val="none"/>
              </w:rPr>
            </w:pPr>
            <w:r>
              <w:rPr>
                <w:rFonts w:hint="eastAsia" w:cs="宋体"/>
                <w:b/>
                <w:bCs/>
                <w:sz w:val="24"/>
                <w:szCs w:val="24"/>
                <w:highlight w:val="none"/>
              </w:rPr>
              <w:t>注：</w:t>
            </w:r>
            <w:r>
              <w:rPr>
                <w:rFonts w:hint="eastAsia" w:cs="宋体"/>
                <w:b/>
                <w:bCs/>
                <w:sz w:val="24"/>
                <w:szCs w:val="24"/>
                <w:highlight w:val="none"/>
                <w:lang w:val="en-US" w:eastAsia="zh-CN"/>
              </w:rPr>
              <w:t>同一项目的奖项不重复计分，</w:t>
            </w:r>
            <w:r>
              <w:rPr>
                <w:rFonts w:hint="eastAsia" w:cs="宋体"/>
                <w:b/>
                <w:bCs/>
                <w:sz w:val="24"/>
                <w:szCs w:val="24"/>
                <w:highlight w:val="none"/>
              </w:rPr>
              <w:t>提供相关</w:t>
            </w:r>
            <w:r>
              <w:rPr>
                <w:rFonts w:hint="eastAsia" w:cs="宋体"/>
                <w:b/>
                <w:bCs/>
                <w:sz w:val="24"/>
                <w:szCs w:val="24"/>
                <w:highlight w:val="none"/>
                <w:lang w:val="en-US" w:eastAsia="zh-CN"/>
              </w:rPr>
              <w:t>奖项</w:t>
            </w:r>
            <w:r>
              <w:rPr>
                <w:rFonts w:hint="eastAsia" w:cs="宋体"/>
                <w:b/>
                <w:bCs/>
                <w:sz w:val="24"/>
                <w:szCs w:val="24"/>
                <w:highlight w:val="none"/>
              </w:rPr>
              <w:t>证书复印件</w:t>
            </w:r>
            <w:r>
              <w:rPr>
                <w:rFonts w:hint="eastAsia" w:cs="宋体"/>
                <w:b/>
                <w:bCs/>
                <w:sz w:val="24"/>
                <w:szCs w:val="24"/>
                <w:highlight w:val="none"/>
                <w:lang w:eastAsia="zh-CN"/>
              </w:rPr>
              <w:t>，</w:t>
            </w:r>
            <w:r>
              <w:rPr>
                <w:rFonts w:hint="eastAsia" w:cs="宋体"/>
                <w:b/>
                <w:bCs/>
                <w:sz w:val="24"/>
                <w:szCs w:val="24"/>
                <w:highlight w:val="none"/>
                <w:lang w:val="en-US" w:eastAsia="zh-CN"/>
              </w:rPr>
              <w:t>同时提供对应的食堂经营项目合同复印件</w:t>
            </w:r>
            <w:r>
              <w:rPr>
                <w:rFonts w:hint="eastAsia" w:cs="宋体"/>
                <w:b/>
                <w:bCs/>
                <w:sz w:val="24"/>
                <w:szCs w:val="24"/>
                <w:highlight w:val="none"/>
              </w:rPr>
              <w:t>。</w:t>
            </w:r>
          </w:p>
          <w:p w14:paraId="79473F06">
            <w:pPr>
              <w:pStyle w:val="48"/>
              <w:adjustRightInd w:val="0"/>
              <w:snapToGrid w:val="0"/>
              <w:ind w:left="10" w:leftChars="5"/>
              <w:jc w:val="left"/>
              <w:rPr>
                <w:rFonts w:cs="宋体"/>
                <w:sz w:val="24"/>
                <w:szCs w:val="24"/>
                <w:highlight w:val="none"/>
              </w:rPr>
            </w:pPr>
            <w:r>
              <w:rPr>
                <w:rFonts w:hint="eastAsia" w:cs="宋体"/>
                <w:sz w:val="24"/>
                <w:szCs w:val="24"/>
                <w:highlight w:val="none"/>
              </w:rPr>
              <w:t>2.投标人具有质量管理体系认证证书、食品安全管理体系认证证书、环境管理体系认证证书、职业健康安全管理体系认证证书的，每具有一类证书得3分，最多得12分。</w:t>
            </w:r>
          </w:p>
          <w:p w14:paraId="595AB10D">
            <w:pPr>
              <w:pStyle w:val="48"/>
              <w:adjustRightInd w:val="0"/>
              <w:snapToGrid w:val="0"/>
              <w:ind w:left="10" w:leftChars="5"/>
              <w:jc w:val="left"/>
              <w:rPr>
                <w:rFonts w:cs="宋体"/>
                <w:sz w:val="24"/>
                <w:szCs w:val="24"/>
                <w:highlight w:val="none"/>
              </w:rPr>
            </w:pPr>
            <w:r>
              <w:rPr>
                <w:rFonts w:hint="eastAsia" w:cs="宋体"/>
                <w:b/>
                <w:bCs/>
                <w:sz w:val="24"/>
                <w:szCs w:val="24"/>
                <w:highlight w:val="none"/>
              </w:rPr>
              <w:t>注：提供有效期内的证书的复印件并盖投标人</w:t>
            </w:r>
            <w:r>
              <w:rPr>
                <w:rFonts w:hint="eastAsia" w:cs="宋体"/>
                <w:b/>
                <w:bCs/>
                <w:sz w:val="24"/>
                <w:szCs w:val="24"/>
                <w:highlight w:val="none"/>
                <w:lang w:val="en-US" w:eastAsia="zh-CN"/>
              </w:rPr>
              <w:t>单位公章</w:t>
            </w:r>
            <w:r>
              <w:rPr>
                <w:rFonts w:hint="eastAsia" w:cs="宋体"/>
                <w:b/>
                <w:bCs/>
                <w:sz w:val="24"/>
                <w:szCs w:val="24"/>
                <w:highlight w:val="none"/>
              </w:rPr>
              <w:t>。</w:t>
            </w:r>
          </w:p>
        </w:tc>
        <w:tc>
          <w:tcPr>
            <w:tcW w:w="967" w:type="dxa"/>
            <w:noWrap w:val="0"/>
            <w:vAlign w:val="center"/>
          </w:tcPr>
          <w:p w14:paraId="2E4B3989">
            <w:pPr>
              <w:pStyle w:val="48"/>
              <w:adjustRightInd w:val="0"/>
              <w:snapToGrid w:val="0"/>
              <w:ind w:left="10" w:leftChars="5"/>
              <w:rPr>
                <w:rFonts w:cs="宋体"/>
                <w:sz w:val="24"/>
                <w:szCs w:val="24"/>
                <w:highlight w:val="none"/>
              </w:rPr>
            </w:pPr>
            <w:r>
              <w:rPr>
                <w:rFonts w:hint="eastAsia" w:cs="宋体"/>
                <w:sz w:val="24"/>
                <w:szCs w:val="24"/>
                <w:highlight w:val="none"/>
              </w:rPr>
              <w:t>共同评分因素</w:t>
            </w:r>
          </w:p>
        </w:tc>
      </w:tr>
      <w:tr w14:paraId="53B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50" w:type="dxa"/>
            <w:noWrap w:val="0"/>
            <w:vAlign w:val="center"/>
          </w:tcPr>
          <w:p w14:paraId="311E46C4">
            <w:pPr>
              <w:pStyle w:val="48"/>
              <w:adjustRightInd w:val="0"/>
              <w:snapToGrid w:val="0"/>
              <w:ind w:left="10" w:leftChars="5"/>
              <w:rPr>
                <w:rFonts w:hint="eastAsia" w:eastAsia="宋体" w:cs="宋体"/>
                <w:sz w:val="24"/>
                <w:szCs w:val="24"/>
                <w:highlight w:val="none"/>
                <w:lang w:eastAsia="zh-CN"/>
              </w:rPr>
            </w:pPr>
            <w:r>
              <w:rPr>
                <w:rFonts w:hint="eastAsia" w:cs="宋体"/>
                <w:sz w:val="24"/>
                <w:szCs w:val="24"/>
                <w:highlight w:val="none"/>
                <w:lang w:val="en-US" w:eastAsia="zh-CN"/>
              </w:rPr>
              <w:t>五</w:t>
            </w:r>
          </w:p>
        </w:tc>
        <w:tc>
          <w:tcPr>
            <w:tcW w:w="1075" w:type="dxa"/>
            <w:noWrap w:val="0"/>
            <w:vAlign w:val="center"/>
          </w:tcPr>
          <w:p w14:paraId="1BCE240B">
            <w:pPr>
              <w:pStyle w:val="48"/>
              <w:adjustRightInd w:val="0"/>
              <w:snapToGrid w:val="0"/>
              <w:ind w:left="10" w:leftChars="5"/>
              <w:rPr>
                <w:rFonts w:cs="宋体"/>
                <w:sz w:val="24"/>
                <w:szCs w:val="24"/>
                <w:highlight w:val="none"/>
              </w:rPr>
            </w:pPr>
            <w:r>
              <w:rPr>
                <w:rFonts w:hint="eastAsia" w:cs="宋体"/>
                <w:sz w:val="24"/>
                <w:szCs w:val="24"/>
                <w:highlight w:val="none"/>
              </w:rPr>
              <w:t>满意度调查</w:t>
            </w:r>
            <w:r>
              <w:rPr>
                <w:rFonts w:hint="eastAsia" w:cs="宋体"/>
                <w:sz w:val="24"/>
                <w:szCs w:val="24"/>
                <w:highlight w:val="none"/>
                <w:lang w:val="en-US" w:eastAsia="zh-CN"/>
              </w:rPr>
              <w:t>15</w:t>
            </w:r>
            <w:r>
              <w:rPr>
                <w:rFonts w:hint="eastAsia" w:cs="宋体"/>
                <w:sz w:val="24"/>
                <w:szCs w:val="24"/>
                <w:highlight w:val="none"/>
              </w:rPr>
              <w:t>%</w:t>
            </w:r>
          </w:p>
        </w:tc>
        <w:tc>
          <w:tcPr>
            <w:tcW w:w="941" w:type="dxa"/>
            <w:noWrap w:val="0"/>
            <w:vAlign w:val="center"/>
          </w:tcPr>
          <w:p w14:paraId="5BDE56CB">
            <w:pPr>
              <w:pStyle w:val="48"/>
              <w:adjustRightInd w:val="0"/>
              <w:snapToGrid w:val="0"/>
              <w:ind w:left="10" w:leftChars="5"/>
              <w:rPr>
                <w:rFonts w:cs="宋体"/>
                <w:sz w:val="24"/>
                <w:szCs w:val="24"/>
                <w:highlight w:val="none"/>
              </w:rPr>
            </w:pPr>
            <w:r>
              <w:rPr>
                <w:rFonts w:hint="eastAsia" w:cs="宋体"/>
                <w:sz w:val="24"/>
                <w:szCs w:val="24"/>
                <w:highlight w:val="none"/>
                <w:lang w:val="en-US" w:eastAsia="zh-CN"/>
              </w:rPr>
              <w:t>15</w:t>
            </w:r>
            <w:r>
              <w:rPr>
                <w:rFonts w:hint="eastAsia" w:cs="宋体"/>
                <w:sz w:val="24"/>
                <w:szCs w:val="24"/>
                <w:highlight w:val="none"/>
              </w:rPr>
              <w:t>分</w:t>
            </w:r>
          </w:p>
        </w:tc>
        <w:tc>
          <w:tcPr>
            <w:tcW w:w="5925" w:type="dxa"/>
            <w:noWrap w:val="0"/>
            <w:vAlign w:val="center"/>
          </w:tcPr>
          <w:p w14:paraId="41E32A82">
            <w:pPr>
              <w:pStyle w:val="48"/>
              <w:adjustRightInd w:val="0"/>
              <w:snapToGrid w:val="0"/>
              <w:ind w:left="10" w:leftChars="5"/>
              <w:jc w:val="left"/>
              <w:rPr>
                <w:rFonts w:cs="宋体"/>
                <w:sz w:val="24"/>
                <w:szCs w:val="24"/>
                <w:highlight w:val="none"/>
              </w:rPr>
            </w:pPr>
            <w:r>
              <w:rPr>
                <w:rFonts w:hint="eastAsia" w:cs="宋体"/>
                <w:sz w:val="24"/>
                <w:szCs w:val="24"/>
                <w:highlight w:val="none"/>
              </w:rPr>
              <w:t>投标人提供202</w:t>
            </w:r>
            <w:r>
              <w:rPr>
                <w:rFonts w:hint="eastAsia" w:cs="宋体"/>
                <w:sz w:val="24"/>
                <w:szCs w:val="24"/>
                <w:highlight w:val="none"/>
                <w:lang w:val="en-US" w:eastAsia="zh-CN"/>
              </w:rPr>
              <w:t>3</w:t>
            </w:r>
            <w:r>
              <w:rPr>
                <w:rFonts w:hint="eastAsia" w:cs="宋体"/>
                <w:sz w:val="24"/>
                <w:szCs w:val="24"/>
                <w:highlight w:val="none"/>
              </w:rPr>
              <w:t>年度</w:t>
            </w:r>
            <w:r>
              <w:rPr>
                <w:rFonts w:hint="eastAsia" w:cs="宋体"/>
                <w:sz w:val="24"/>
                <w:szCs w:val="24"/>
                <w:highlight w:val="none"/>
                <w:lang w:val="en-US" w:eastAsia="zh-CN"/>
              </w:rPr>
              <w:t>至</w:t>
            </w:r>
            <w:r>
              <w:rPr>
                <w:rFonts w:hint="eastAsia" w:cs="宋体"/>
                <w:sz w:val="24"/>
                <w:szCs w:val="24"/>
                <w:highlight w:val="none"/>
              </w:rPr>
              <w:t>202</w:t>
            </w:r>
            <w:r>
              <w:rPr>
                <w:rFonts w:hint="eastAsia" w:cs="宋体"/>
                <w:sz w:val="24"/>
                <w:szCs w:val="24"/>
                <w:highlight w:val="none"/>
                <w:lang w:val="en-US" w:eastAsia="zh-CN"/>
              </w:rPr>
              <w:t>4</w:t>
            </w:r>
            <w:r>
              <w:rPr>
                <w:rFonts w:hint="eastAsia" w:cs="宋体"/>
                <w:sz w:val="24"/>
                <w:szCs w:val="24"/>
                <w:highlight w:val="none"/>
              </w:rPr>
              <w:t>年度的食堂满意度调查，每有一个年度满意度</w:t>
            </w:r>
            <w:r>
              <w:rPr>
                <w:rFonts w:hint="eastAsia" w:cs="宋体"/>
                <w:sz w:val="24"/>
                <w:szCs w:val="24"/>
                <w:highlight w:val="none"/>
                <w:lang w:val="en-US" w:eastAsia="zh-CN"/>
              </w:rPr>
              <w:t>不低于</w:t>
            </w:r>
            <w:r>
              <w:rPr>
                <w:rFonts w:hint="eastAsia" w:cs="宋体"/>
                <w:sz w:val="24"/>
                <w:szCs w:val="24"/>
                <w:highlight w:val="none"/>
              </w:rPr>
              <w:t>80%(</w:t>
            </w:r>
            <w:r>
              <w:rPr>
                <w:rFonts w:hint="eastAsia" w:cs="宋体"/>
                <w:sz w:val="24"/>
                <w:szCs w:val="24"/>
                <w:highlight w:val="none"/>
                <w:lang w:val="en-US" w:eastAsia="zh-CN"/>
              </w:rPr>
              <w:t>或评价为优秀</w:t>
            </w:r>
            <w:r>
              <w:rPr>
                <w:rFonts w:hint="eastAsia" w:cs="宋体"/>
                <w:sz w:val="24"/>
                <w:szCs w:val="24"/>
                <w:highlight w:val="none"/>
              </w:rPr>
              <w:t>)的得5分，最多得</w:t>
            </w:r>
            <w:r>
              <w:rPr>
                <w:rFonts w:hint="eastAsia" w:cs="宋体"/>
                <w:sz w:val="24"/>
                <w:szCs w:val="24"/>
                <w:highlight w:val="none"/>
                <w:lang w:val="en-US" w:eastAsia="zh-CN"/>
              </w:rPr>
              <w:t>15</w:t>
            </w:r>
            <w:r>
              <w:rPr>
                <w:rFonts w:hint="eastAsia" w:cs="宋体"/>
                <w:sz w:val="24"/>
                <w:szCs w:val="24"/>
                <w:highlight w:val="none"/>
              </w:rPr>
              <w:t>分。</w:t>
            </w:r>
          </w:p>
          <w:p w14:paraId="3878E0D8">
            <w:pPr>
              <w:pStyle w:val="48"/>
              <w:adjustRightInd w:val="0"/>
              <w:snapToGrid w:val="0"/>
              <w:ind w:left="10" w:leftChars="5"/>
              <w:jc w:val="left"/>
              <w:rPr>
                <w:rFonts w:cs="宋体"/>
                <w:sz w:val="24"/>
                <w:szCs w:val="24"/>
                <w:highlight w:val="none"/>
              </w:rPr>
            </w:pPr>
            <w:r>
              <w:rPr>
                <w:rFonts w:hint="eastAsia" w:cs="宋体"/>
                <w:b/>
                <w:bCs/>
                <w:sz w:val="24"/>
                <w:szCs w:val="24"/>
                <w:highlight w:val="none"/>
              </w:rPr>
              <w:t>注：</w:t>
            </w:r>
            <w:r>
              <w:rPr>
                <w:rFonts w:hint="eastAsia" w:cs="宋体"/>
                <w:b/>
                <w:bCs/>
                <w:sz w:val="24"/>
                <w:szCs w:val="24"/>
                <w:highlight w:val="none"/>
                <w:lang w:val="en-US" w:eastAsia="zh-CN"/>
              </w:rPr>
              <w:t>投标人提供任意一个年度的食堂</w:t>
            </w:r>
            <w:r>
              <w:rPr>
                <w:rFonts w:hint="eastAsia" w:cs="宋体"/>
                <w:b/>
                <w:bCs/>
                <w:sz w:val="24"/>
                <w:szCs w:val="24"/>
                <w:highlight w:val="none"/>
              </w:rPr>
              <w:t>满意度调查相关证明材料，</w:t>
            </w:r>
            <w:r>
              <w:rPr>
                <w:rFonts w:hint="eastAsia" w:cs="宋体"/>
                <w:b/>
                <w:bCs/>
                <w:sz w:val="24"/>
                <w:szCs w:val="24"/>
                <w:highlight w:val="none"/>
                <w:lang w:val="en-US" w:eastAsia="zh-CN"/>
              </w:rPr>
              <w:t>加盖投标人单位公章</w:t>
            </w:r>
            <w:r>
              <w:rPr>
                <w:rFonts w:hint="eastAsia" w:cs="宋体"/>
                <w:b/>
                <w:bCs/>
                <w:sz w:val="24"/>
                <w:szCs w:val="24"/>
                <w:highlight w:val="none"/>
              </w:rPr>
              <w:t>。</w:t>
            </w:r>
          </w:p>
        </w:tc>
        <w:tc>
          <w:tcPr>
            <w:tcW w:w="967" w:type="dxa"/>
            <w:noWrap w:val="0"/>
            <w:vAlign w:val="center"/>
          </w:tcPr>
          <w:p w14:paraId="6755D9A1">
            <w:pPr>
              <w:pStyle w:val="48"/>
              <w:adjustRightInd w:val="0"/>
              <w:snapToGrid w:val="0"/>
              <w:ind w:left="10" w:leftChars="5"/>
              <w:rPr>
                <w:rFonts w:cs="宋体"/>
                <w:sz w:val="24"/>
                <w:szCs w:val="24"/>
                <w:highlight w:val="none"/>
              </w:rPr>
            </w:pPr>
            <w:r>
              <w:rPr>
                <w:rFonts w:hint="eastAsia" w:cs="宋体"/>
                <w:sz w:val="24"/>
                <w:szCs w:val="24"/>
                <w:highlight w:val="none"/>
              </w:rPr>
              <w:t>共同评分因素</w:t>
            </w:r>
          </w:p>
        </w:tc>
      </w:tr>
      <w:tr w14:paraId="2C5B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58" w:type="dxa"/>
            <w:gridSpan w:val="5"/>
            <w:noWrap w:val="0"/>
            <w:vAlign w:val="center"/>
          </w:tcPr>
          <w:p w14:paraId="144C4ECB">
            <w:pPr>
              <w:pStyle w:val="48"/>
              <w:adjustRightInd w:val="0"/>
              <w:snapToGrid w:val="0"/>
              <w:ind w:left="10" w:leftChars="5"/>
              <w:jc w:val="both"/>
              <w:rPr>
                <w:rFonts w:cs="宋体"/>
                <w:sz w:val="24"/>
                <w:szCs w:val="24"/>
                <w:highlight w:val="none"/>
              </w:rPr>
            </w:pPr>
            <w:r>
              <w:rPr>
                <w:rFonts w:hint="eastAsia" w:cs="宋体"/>
                <w:sz w:val="24"/>
                <w:szCs w:val="24"/>
                <w:highlight w:val="none"/>
              </w:rPr>
              <w:t>注：</w:t>
            </w:r>
            <w:r>
              <w:rPr>
                <w:rFonts w:hint="eastAsia" w:cs="宋体"/>
                <w:sz w:val="24"/>
                <w:szCs w:val="24"/>
                <w:highlight w:val="none"/>
              </w:rPr>
              <w:fldChar w:fldCharType="begin"/>
            </w:r>
            <w:r>
              <w:rPr>
                <w:rFonts w:hint="eastAsia" w:cs="宋体"/>
                <w:sz w:val="24"/>
                <w:szCs w:val="24"/>
                <w:highlight w:val="none"/>
              </w:rPr>
              <w:instrText xml:space="preserve"> = 1 \* GB3 \* MERGEFORMAT </w:instrText>
            </w:r>
            <w:r>
              <w:rPr>
                <w:rFonts w:hint="eastAsia" w:cs="宋体"/>
                <w:sz w:val="24"/>
                <w:szCs w:val="24"/>
                <w:highlight w:val="none"/>
              </w:rPr>
              <w:fldChar w:fldCharType="separate"/>
            </w:r>
            <w:r>
              <w:rPr>
                <w:rFonts w:hint="eastAsia" w:cs="宋体"/>
                <w:sz w:val="24"/>
                <w:szCs w:val="24"/>
                <w:highlight w:val="none"/>
              </w:rPr>
              <w:t>①</w:t>
            </w:r>
            <w:r>
              <w:rPr>
                <w:rFonts w:hint="eastAsia" w:cs="宋体"/>
                <w:sz w:val="24"/>
                <w:szCs w:val="24"/>
                <w:highlight w:val="none"/>
              </w:rPr>
              <w:fldChar w:fldCharType="end"/>
            </w:r>
            <w:r>
              <w:rPr>
                <w:rFonts w:hint="eastAsia" w:cs="宋体"/>
                <w:sz w:val="24"/>
                <w:szCs w:val="24"/>
                <w:highlight w:val="none"/>
              </w:rPr>
              <w:t>评分的取值按四舍五入法，小数点后保留两位。</w:t>
            </w:r>
            <w:r>
              <w:rPr>
                <w:rFonts w:hint="eastAsia" w:cs="宋体"/>
                <w:sz w:val="24"/>
                <w:szCs w:val="24"/>
                <w:highlight w:val="none"/>
              </w:rPr>
              <w:fldChar w:fldCharType="begin"/>
            </w:r>
            <w:r>
              <w:rPr>
                <w:rFonts w:hint="eastAsia" w:cs="宋体"/>
                <w:sz w:val="24"/>
                <w:szCs w:val="24"/>
                <w:highlight w:val="none"/>
              </w:rPr>
              <w:instrText xml:space="preserve"> = 2 \* GB3 \* MERGEFORMAT </w:instrText>
            </w:r>
            <w:r>
              <w:rPr>
                <w:rFonts w:hint="eastAsia" w:cs="宋体"/>
                <w:sz w:val="24"/>
                <w:szCs w:val="24"/>
                <w:highlight w:val="none"/>
              </w:rPr>
              <w:fldChar w:fldCharType="separate"/>
            </w:r>
            <w:r>
              <w:rPr>
                <w:rFonts w:hint="eastAsia" w:cs="宋体"/>
                <w:sz w:val="24"/>
                <w:szCs w:val="24"/>
                <w:highlight w:val="none"/>
              </w:rPr>
              <w:t>②</w:t>
            </w:r>
            <w:r>
              <w:rPr>
                <w:rFonts w:hint="eastAsia" w:cs="宋体"/>
                <w:sz w:val="24"/>
                <w:szCs w:val="24"/>
                <w:highlight w:val="none"/>
              </w:rPr>
              <w:fldChar w:fldCharType="end"/>
            </w:r>
            <w:r>
              <w:rPr>
                <w:rFonts w:hint="eastAsia" w:cs="宋体"/>
                <w:sz w:val="24"/>
                <w:szCs w:val="24"/>
                <w:highlight w:val="none"/>
              </w:rPr>
              <w:t>本表中要求提供各类证明材料应清晰可辨，均需加盖供应商公章，否则将不认可该项材料的有效性。</w:t>
            </w:r>
          </w:p>
        </w:tc>
      </w:tr>
    </w:tbl>
    <w:p w14:paraId="40A32EE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评分分值四舍五入，保留小数点后 2 位。</w:t>
      </w:r>
    </w:p>
    <w:p w14:paraId="614FE3B9">
      <w:pPr>
        <w:spacing w:line="240" w:lineRule="auto"/>
        <w:ind w:firstLine="482" w:firstLineChars="200"/>
        <w:outlineLvl w:val="1"/>
        <w:rPr>
          <w:rFonts w:ascii="宋体" w:hAnsi="宋体" w:eastAsia="宋体" w:cs="宋体"/>
          <w:b/>
          <w:bCs/>
          <w:color w:val="auto"/>
          <w:sz w:val="24"/>
          <w:szCs w:val="24"/>
          <w:highlight w:val="none"/>
        </w:rPr>
      </w:pPr>
      <w:bookmarkStart w:id="179" w:name="_Toc21587"/>
      <w:bookmarkStart w:id="180" w:name="_Toc7368"/>
      <w:bookmarkStart w:id="181" w:name="_Toc20800"/>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废 标</w:t>
      </w:r>
      <w:bookmarkEnd w:id="179"/>
      <w:bookmarkEnd w:id="180"/>
      <w:bookmarkEnd w:id="181"/>
    </w:p>
    <w:p w14:paraId="304B3E0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本次采购活动中，出现下列情形之一的，予以废标：</w:t>
      </w:r>
    </w:p>
    <w:p w14:paraId="28D87E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 符合专业条件的投标人或者对招标文件作实质响应的投标人不足三家的；</w:t>
      </w:r>
    </w:p>
    <w:p w14:paraId="0D51C0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出现影响采购公正的违法、违规行为的；</w:t>
      </w:r>
    </w:p>
    <w:p w14:paraId="4F60318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4.1.3 投标人的报价均超过了采购预算，招标人不能支付的；</w:t>
      </w:r>
    </w:p>
    <w:p w14:paraId="65BA2FC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4.1.4 因重大变故，采购任务取消的。</w:t>
      </w:r>
    </w:p>
    <w:p w14:paraId="788391A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废标后，招标代理机构应在中国招标投标公共服务平台（http://www.cebpubservice.com/）上公告，并公告废标的情形。投标人需要知晓导致废标情形的具体原因和理由的，可以通过书面形式询问招标采购单位。</w:t>
      </w:r>
    </w:p>
    <w:p w14:paraId="43764FAE">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4.2 对于评标过程中废标的采购项目，评标委员会应当对招标文件是否存在倾向性和歧视性、是否存在不合理条款进行论证，并出具书面论证意见。</w:t>
      </w:r>
    </w:p>
    <w:p w14:paraId="17183911">
      <w:pPr>
        <w:spacing w:line="240" w:lineRule="auto"/>
        <w:ind w:firstLine="482" w:firstLineChars="200"/>
        <w:outlineLvl w:val="1"/>
        <w:rPr>
          <w:rFonts w:ascii="宋体" w:hAnsi="宋体" w:eastAsia="宋体" w:cs="宋体"/>
          <w:b/>
          <w:bCs/>
          <w:color w:val="auto"/>
          <w:sz w:val="24"/>
          <w:szCs w:val="24"/>
          <w:highlight w:val="none"/>
        </w:rPr>
      </w:pPr>
      <w:bookmarkStart w:id="182" w:name="_Toc15429"/>
      <w:bookmarkStart w:id="183" w:name="_Toc20868"/>
      <w:bookmarkStart w:id="184" w:name="_Toc3115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定标</w:t>
      </w:r>
      <w:bookmarkEnd w:id="182"/>
      <w:bookmarkEnd w:id="183"/>
      <w:bookmarkEnd w:id="184"/>
    </w:p>
    <w:p w14:paraId="06BFFD2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定标原则：</w:t>
      </w:r>
    </w:p>
    <w:p w14:paraId="1380BEA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方式一：招标人将按评标委员会推荐的中标候选人名单，按顺序确定中标人。方式二：招标人授权评标委员会直接确定中标人。</w:t>
      </w:r>
    </w:p>
    <w:p w14:paraId="66329E7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定标原则：本项目采用</w:t>
      </w:r>
      <w:r>
        <w:rPr>
          <w:rFonts w:hint="eastAsia" w:ascii="宋体" w:hAnsi="宋体" w:eastAsia="宋体" w:cs="宋体"/>
          <w:b/>
          <w:bCs/>
          <w:color w:val="auto"/>
          <w:spacing w:val="6"/>
          <w:sz w:val="24"/>
          <w:szCs w:val="24"/>
          <w:highlight w:val="none"/>
          <w:u w:val="single"/>
        </w:rPr>
        <w:t>方式一</w:t>
      </w:r>
      <w:r>
        <w:rPr>
          <w:rFonts w:hint="eastAsia" w:ascii="宋体" w:hAnsi="宋体" w:eastAsia="宋体" w:cs="宋体"/>
          <w:color w:val="auto"/>
          <w:spacing w:val="6"/>
          <w:sz w:val="24"/>
          <w:szCs w:val="24"/>
          <w:highlight w:val="none"/>
        </w:rPr>
        <w:t>确定中标人。</w:t>
      </w:r>
    </w:p>
    <w:p w14:paraId="13C3C58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定标程序</w:t>
      </w:r>
    </w:p>
    <w:p w14:paraId="4222948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5.2.1 评标委员会将评标情况写出书面报告，推荐三名中标候选人。</w:t>
      </w:r>
    </w:p>
    <w:p w14:paraId="5DB1706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5.2.2 招标代理机构在评标结束后2个工作日内将评标报告送招标人。</w:t>
      </w:r>
    </w:p>
    <w:p w14:paraId="39BF975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5.2.3 招标人在收到评标报告后5个工作日内按照评标报告中推荐的中标候选人顺序确定中标人。</w:t>
      </w:r>
    </w:p>
    <w:p w14:paraId="5638A227">
      <w:pPr>
        <w:spacing w:line="24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采用综合评分法的，按投标人评审得分从高到低顺序排列；投标文件满足招标文件全部实质性要求，且按照评审因素的量化指标评审得分最高的投标人为排名第一的中标候选人。综合得分相同的，价格低者排名优先。综合得分且报价相同的，按照技术/服务方案优劣顺序推荐。中标候选人并列的，由评标委员会根据招标文件规定的推荐中标候选人数量，在排名并列的中标候选人中，采取随机抽取的方式确定中标候选人排名顺序。 </w:t>
      </w:r>
    </w:p>
    <w:p w14:paraId="361BF76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本项目的采购包涉及核心产品的，在按投标人评审得分从高到低顺序排列环节前，对提供相同品牌产品且通过资格审查、符合性审查的不同投标人参加同一合同项下投标的，按一家投标人计算（任意一个核心产品是相同品牌时视为提供相同品牌产品的投标人），评审后得分最高的同品牌投标人获得中标人推荐资格；评审得分相同的，由评标委员会采取随机抽取方式确定一个投标人获得中标人推荐资格，其他同品牌投标人不作为中标候选人。</w:t>
      </w:r>
    </w:p>
    <w:p w14:paraId="3402758D">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注意，招标人按照推荐的中标候选人顺序确定中标人，不能认为招标人只能确定第一中标候选人为中标人，招标人有正当理由的，可以确定后一顺序中标候选人为中标人，</w:t>
      </w:r>
      <w:r>
        <w:rPr>
          <w:rFonts w:hint="eastAsia" w:ascii="宋体" w:hAnsi="宋体" w:eastAsia="宋体" w:cs="宋体"/>
          <w:b/>
          <w:bCs/>
          <w:color w:val="auto"/>
          <w:sz w:val="24"/>
          <w:szCs w:val="24"/>
          <w:highlight w:val="none"/>
          <w:lang w:eastAsia="zh-CN"/>
        </w:rPr>
        <w:t>依此类推</w:t>
      </w:r>
      <w:r>
        <w:rPr>
          <w:rFonts w:hint="eastAsia" w:ascii="宋体" w:hAnsi="宋体" w:eastAsia="宋体" w:cs="宋体"/>
          <w:b/>
          <w:bCs/>
          <w:color w:val="auto"/>
          <w:sz w:val="24"/>
          <w:szCs w:val="24"/>
          <w:highlight w:val="none"/>
        </w:rPr>
        <w:t>。</w:t>
      </w:r>
    </w:p>
    <w:p w14:paraId="2ADADDB6">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招标人在收到评审报告之日起5个工作日内未按评标报告推荐的中标候选人顺序确定中标人，又不能说明合法理由的，视同按评审报告推荐的顺序确定排名第一的中标候选人为中标人。</w:t>
      </w:r>
    </w:p>
    <w:p w14:paraId="55FA975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5.2.4 招标代理机构自中标人确定之日起2个工作日内，在中国招标投标公共服务平台（http://www.cebpubservice.com/）上公告中标结果。</w:t>
      </w:r>
    </w:p>
    <w:p w14:paraId="32758F2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5.2.5 招标采购单位不退回投标人投标文件和其他投标资料。</w:t>
      </w:r>
    </w:p>
    <w:p w14:paraId="5658957C">
      <w:pPr>
        <w:spacing w:line="240" w:lineRule="auto"/>
        <w:ind w:firstLine="482" w:firstLineChars="200"/>
        <w:outlineLvl w:val="1"/>
        <w:rPr>
          <w:rFonts w:ascii="宋体" w:hAnsi="宋体" w:eastAsia="宋体" w:cs="宋体"/>
          <w:b/>
          <w:bCs/>
          <w:color w:val="auto"/>
          <w:sz w:val="24"/>
          <w:szCs w:val="24"/>
          <w:highlight w:val="none"/>
        </w:rPr>
      </w:pPr>
      <w:bookmarkStart w:id="185" w:name="_Toc32129"/>
      <w:bookmarkStart w:id="186" w:name="_Toc30005"/>
      <w:bookmarkStart w:id="187" w:name="_Toc29395"/>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评标专家在采购活动中承担以下义务：</w:t>
      </w:r>
      <w:bookmarkEnd w:id="185"/>
      <w:bookmarkEnd w:id="186"/>
      <w:bookmarkEnd w:id="187"/>
    </w:p>
    <w:p w14:paraId="589F1EE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6.1 遵守评审工作纪律；</w:t>
      </w:r>
    </w:p>
    <w:p w14:paraId="114E0AC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6.2 按照客观、公正、审慎的原则，根据采购文件规定的评审程序、评审方法和评审标准进行独立评审；</w:t>
      </w:r>
    </w:p>
    <w:p w14:paraId="17555C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6.3 不得泄露评审文件、评审情况和在评审过程中获悉的商业秘密；</w:t>
      </w:r>
    </w:p>
    <w:p w14:paraId="5C8D8EE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6.4 及时向监督部门报告评审过程中采购组织单位向评审专家做倾向性、误导性的解释或者说明，供应商行贿、提供虚假材料或者串通、受到的非法干预情况等违法违规行为；</w:t>
      </w:r>
    </w:p>
    <w:p w14:paraId="04E3643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6.5 发现采购文件内容违反国家有关强制性规定或者存在歧义、重大缺陷导致评审工作无法进行时，停止评审并向采购组织单位书面说明情况；</w:t>
      </w:r>
    </w:p>
    <w:p w14:paraId="0739508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6.6 配合答复处理供应商的询问、质疑和投诉等事项；</w:t>
      </w:r>
    </w:p>
    <w:p w14:paraId="1FAD0E6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6.7 法律、法规和规章规定的其他义务。</w:t>
      </w:r>
    </w:p>
    <w:p w14:paraId="06C7F77D">
      <w:pPr>
        <w:spacing w:line="240" w:lineRule="auto"/>
        <w:ind w:firstLine="482" w:firstLineChars="200"/>
        <w:outlineLvl w:val="1"/>
        <w:rPr>
          <w:rFonts w:ascii="宋体" w:hAnsi="宋体" w:eastAsia="宋体" w:cs="宋体"/>
          <w:b/>
          <w:bCs/>
          <w:color w:val="auto"/>
          <w:sz w:val="24"/>
          <w:szCs w:val="24"/>
          <w:highlight w:val="none"/>
        </w:rPr>
      </w:pPr>
      <w:bookmarkStart w:id="188" w:name="_Toc13558"/>
      <w:bookmarkStart w:id="189" w:name="_Toc6241"/>
      <w:bookmarkStart w:id="190" w:name="_Toc2497"/>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评标专家在采购活动中应当遵守以下工作纪律：</w:t>
      </w:r>
      <w:bookmarkEnd w:id="188"/>
      <w:bookmarkEnd w:id="189"/>
      <w:bookmarkEnd w:id="190"/>
    </w:p>
    <w:p w14:paraId="4BE05EA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7.1 遵行《中华人民共和国政府采购法》第十二条和《中华人民共和国政府采购法实施条例》第九条及财政部关于回避的规定。</w:t>
      </w:r>
    </w:p>
    <w:p w14:paraId="410B0FA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7.2 评标前，应当将通讯工具或者相关电子设备交由招标采购单位统一保管。</w:t>
      </w:r>
    </w:p>
    <w:p w14:paraId="6C8664F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7.3 评标过程中，不得与外界联系，因发生不可预见情况，确实需要与外界联系的，应当在监督人员监督之下办理。</w:t>
      </w:r>
    </w:p>
    <w:p w14:paraId="01296C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7.4 评标过程中，不得干预或者影响正常评标工作，不得发表倾向性、引导性意见，不得修改或细化招标文件确定的评标程序、评标方法、评标因素和评标标准，不得接受供应商主动提出的澄清和解释，不得征询招标人代表的意见，不得协商评分，不得违反规定的评标格式评分和撰写评标意见，不得拒绝对自己的 评标意见签字确认。</w:t>
      </w:r>
    </w:p>
    <w:p w14:paraId="621E7F0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7.5 在评标过程中和评标结束后，不得记录、复制或带走任何评标资料，除因规定的义务外，不得向外界透露评标内容。</w:t>
      </w:r>
    </w:p>
    <w:p w14:paraId="5383364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7.6 服从评标现场招标采购单位的现场秩序管理，接受评标现场监督人员的合法监督。</w:t>
      </w:r>
    </w:p>
    <w:p w14:paraId="72776565">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7.7 遵守有关廉洁自律规定，不得私下接触供应商，不得收受供应商及有关业务单位和个人的财物或好处，不得接受采购组织单位的请托。</w:t>
      </w:r>
    </w:p>
    <w:p w14:paraId="4A59AF32">
      <w:pPr>
        <w:pStyle w:val="14"/>
        <w:spacing w:line="240" w:lineRule="auto"/>
        <w:rPr>
          <w:rFonts w:ascii="宋体" w:hAnsi="宋体" w:eastAsia="宋体" w:cs="宋体"/>
          <w:color w:val="auto"/>
          <w:spacing w:val="6"/>
          <w:sz w:val="23"/>
          <w:szCs w:val="23"/>
          <w:highlight w:val="none"/>
        </w:rPr>
      </w:pPr>
    </w:p>
    <w:p w14:paraId="383A6162">
      <w:pPr>
        <w:pStyle w:val="14"/>
        <w:spacing w:line="240" w:lineRule="auto"/>
        <w:rPr>
          <w:rFonts w:ascii="宋体" w:hAnsi="宋体" w:eastAsia="宋体" w:cs="宋体"/>
          <w:color w:val="auto"/>
          <w:spacing w:val="6"/>
          <w:sz w:val="23"/>
          <w:szCs w:val="23"/>
          <w:highlight w:val="none"/>
        </w:rPr>
      </w:pPr>
    </w:p>
    <w:p w14:paraId="2DB8E267">
      <w:pPr>
        <w:pStyle w:val="14"/>
        <w:spacing w:line="240" w:lineRule="auto"/>
        <w:rPr>
          <w:rFonts w:ascii="宋体" w:hAnsi="宋体" w:eastAsia="宋体" w:cs="宋体"/>
          <w:color w:val="auto"/>
          <w:spacing w:val="6"/>
          <w:sz w:val="23"/>
          <w:szCs w:val="23"/>
          <w:highlight w:val="none"/>
        </w:rPr>
      </w:pPr>
    </w:p>
    <w:p w14:paraId="7AC579CA">
      <w:pPr>
        <w:pStyle w:val="14"/>
        <w:spacing w:line="240" w:lineRule="auto"/>
        <w:rPr>
          <w:rFonts w:ascii="宋体" w:hAnsi="宋体" w:eastAsia="宋体" w:cs="宋体"/>
          <w:color w:val="auto"/>
          <w:spacing w:val="6"/>
          <w:sz w:val="23"/>
          <w:szCs w:val="23"/>
          <w:highlight w:val="none"/>
        </w:rPr>
      </w:pPr>
    </w:p>
    <w:p w14:paraId="4BF5A101">
      <w:pPr>
        <w:pStyle w:val="14"/>
        <w:spacing w:line="240" w:lineRule="auto"/>
        <w:rPr>
          <w:rFonts w:ascii="宋体" w:hAnsi="宋体" w:eastAsia="宋体" w:cs="宋体"/>
          <w:color w:val="auto"/>
          <w:spacing w:val="6"/>
          <w:sz w:val="23"/>
          <w:szCs w:val="23"/>
          <w:highlight w:val="none"/>
        </w:rPr>
      </w:pPr>
    </w:p>
    <w:p w14:paraId="398A656A">
      <w:pPr>
        <w:spacing w:line="240" w:lineRule="auto"/>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br w:type="page"/>
      </w:r>
    </w:p>
    <w:p w14:paraId="3475A3F7">
      <w:pPr>
        <w:spacing w:line="240" w:lineRule="auto"/>
        <w:rPr>
          <w:color w:val="auto"/>
          <w:highlight w:val="none"/>
        </w:rPr>
        <w:sectPr>
          <w:headerReference r:id="rId43" w:type="default"/>
          <w:footerReference r:id="rId44" w:type="default"/>
          <w:pgSz w:w="11905" w:h="16838"/>
          <w:pgMar w:top="1417" w:right="1417" w:bottom="1417" w:left="1417" w:header="0" w:footer="1134" w:gutter="0"/>
          <w:cols w:space="0" w:num="1"/>
        </w:sectPr>
      </w:pPr>
    </w:p>
    <w:p w14:paraId="4FD7E9F5">
      <w:pPr>
        <w:spacing w:line="240" w:lineRule="auto"/>
        <w:rPr>
          <w:color w:val="auto"/>
          <w:highlight w:val="none"/>
        </w:rPr>
      </w:pPr>
    </w:p>
    <w:p w14:paraId="37934DE5">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91" w:name="_Toc13042"/>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第八章  合同主要条款</w:t>
      </w:r>
      <w:bookmarkEnd w:id="191"/>
    </w:p>
    <w:p w14:paraId="0FF05ABF">
      <w:pPr>
        <w:spacing w:line="240" w:lineRule="auto"/>
        <w:rPr>
          <w:color w:val="auto"/>
          <w:highlight w:val="none"/>
        </w:rPr>
      </w:pPr>
    </w:p>
    <w:p w14:paraId="6980E1F0">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2"/>
          <w:szCs w:val="22"/>
          <w:highlight w:val="none"/>
          <w:lang w:val="en-US" w:eastAsia="zh-CN"/>
        </w:rPr>
      </w:pPr>
    </w:p>
    <w:p w14:paraId="322266F0">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000000"/>
          <w:sz w:val="24"/>
          <w:szCs w:val="24"/>
          <w:highlight w:val="none"/>
        </w:rPr>
        <w:t>重要说明：</w:t>
      </w:r>
      <w:r>
        <w:rPr>
          <w:rFonts w:hint="eastAsia" w:ascii="宋体" w:hAnsi="宋体" w:eastAsia="宋体" w:cs="宋体"/>
          <w:b/>
          <w:bCs/>
          <w:color w:val="000000"/>
          <w:sz w:val="24"/>
          <w:szCs w:val="24"/>
          <w:highlight w:val="none"/>
          <w:lang w:val="en-US" w:eastAsia="zh-CN"/>
        </w:rPr>
        <w:t>招标人、投标人</w:t>
      </w:r>
      <w:r>
        <w:rPr>
          <w:rFonts w:hint="eastAsia" w:ascii="宋体" w:hAnsi="宋体" w:eastAsia="宋体" w:cs="宋体"/>
          <w:b/>
          <w:bCs/>
          <w:color w:val="000000"/>
          <w:sz w:val="24"/>
          <w:szCs w:val="24"/>
          <w:highlight w:val="none"/>
        </w:rPr>
        <w:t>在签订</w:t>
      </w:r>
      <w:r>
        <w:rPr>
          <w:rFonts w:hint="eastAsia" w:ascii="宋体" w:hAnsi="宋体" w:eastAsia="宋体" w:cs="宋体"/>
          <w:b/>
          <w:bCs/>
          <w:color w:val="000000"/>
          <w:sz w:val="24"/>
          <w:szCs w:val="24"/>
          <w:highlight w:val="none"/>
          <w:lang w:val="en-US" w:eastAsia="zh-CN"/>
        </w:rPr>
        <w:t>正式</w:t>
      </w:r>
      <w:r>
        <w:rPr>
          <w:rFonts w:hint="eastAsia" w:ascii="宋体" w:hAnsi="宋体" w:eastAsia="宋体" w:cs="宋体"/>
          <w:b/>
          <w:bCs/>
          <w:color w:val="000000"/>
          <w:sz w:val="24"/>
          <w:szCs w:val="24"/>
          <w:highlight w:val="none"/>
        </w:rPr>
        <w:t>合同前</w:t>
      </w:r>
      <w:r>
        <w:rPr>
          <w:rFonts w:hint="eastAsia" w:ascii="宋体" w:hAnsi="宋体" w:eastAsia="宋体" w:cs="宋体"/>
          <w:b/>
          <w:bCs/>
          <w:color w:val="000000"/>
          <w:sz w:val="24"/>
          <w:szCs w:val="24"/>
          <w:highlight w:val="none"/>
          <w:lang w:val="en-US" w:eastAsia="zh-CN"/>
        </w:rPr>
        <w:t>应</w:t>
      </w:r>
      <w:r>
        <w:rPr>
          <w:rFonts w:hint="eastAsia" w:ascii="宋体" w:hAnsi="宋体" w:eastAsia="宋体" w:cs="宋体"/>
          <w:b/>
          <w:bCs/>
          <w:color w:val="000000"/>
          <w:sz w:val="24"/>
          <w:szCs w:val="24"/>
          <w:highlight w:val="none"/>
        </w:rPr>
        <w:t>依据</w:t>
      </w:r>
      <w:r>
        <w:rPr>
          <w:rFonts w:hint="eastAsia" w:ascii="宋体" w:hAnsi="宋体" w:eastAsia="宋体" w:cs="宋体"/>
          <w:b/>
          <w:bCs/>
          <w:color w:val="000000"/>
          <w:sz w:val="24"/>
          <w:szCs w:val="24"/>
          <w:highlight w:val="none"/>
          <w:lang w:val="en-US" w:eastAsia="zh-CN"/>
        </w:rPr>
        <w:t>本项目的招标文件、投标文件、项目的澄清文件等</w:t>
      </w:r>
      <w:r>
        <w:rPr>
          <w:rFonts w:hint="eastAsia" w:ascii="宋体" w:hAnsi="宋体" w:eastAsia="宋体" w:cs="宋体"/>
          <w:b/>
          <w:bCs/>
          <w:color w:val="000000"/>
          <w:sz w:val="24"/>
          <w:szCs w:val="24"/>
          <w:highlight w:val="none"/>
        </w:rPr>
        <w:t>对以下合同内容进行</w:t>
      </w:r>
      <w:r>
        <w:rPr>
          <w:rFonts w:hint="eastAsia" w:ascii="宋体" w:hAnsi="宋体" w:eastAsia="宋体" w:cs="宋体"/>
          <w:b/>
          <w:bCs/>
          <w:color w:val="000000"/>
          <w:sz w:val="24"/>
          <w:szCs w:val="24"/>
          <w:highlight w:val="none"/>
          <w:lang w:val="en-US" w:eastAsia="zh-CN"/>
        </w:rPr>
        <w:t>修正和完善</w:t>
      </w:r>
      <w:r>
        <w:rPr>
          <w:rFonts w:hint="eastAsia" w:ascii="宋体" w:hAnsi="宋体" w:eastAsia="宋体" w:cs="宋体"/>
          <w:b/>
          <w:bCs/>
          <w:color w:val="000000"/>
          <w:sz w:val="24"/>
          <w:szCs w:val="24"/>
          <w:highlight w:val="none"/>
        </w:rPr>
        <w:t>。</w:t>
      </w:r>
      <w:r>
        <w:rPr>
          <w:rFonts w:hint="eastAsia" w:ascii="宋体" w:hAnsi="宋体" w:eastAsia="宋体" w:cs="宋体"/>
          <w:b/>
          <w:bCs/>
          <w:color w:val="auto"/>
          <w:sz w:val="24"/>
          <w:szCs w:val="24"/>
          <w:highlight w:val="none"/>
          <w:lang w:val="en-US" w:eastAsia="zh-CN"/>
        </w:rPr>
        <w:t>)</w:t>
      </w:r>
    </w:p>
    <w:p w14:paraId="51BB66C0">
      <w:pPr>
        <w:pStyle w:val="44"/>
        <w:keepNext w:val="0"/>
        <w:keepLines w:val="0"/>
        <w:pageBreakBefore w:val="0"/>
        <w:widowControl w:val="0"/>
        <w:kinsoku/>
        <w:wordWrap w:val="0"/>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b/>
          <w:bCs/>
          <w:color w:val="auto"/>
          <w:sz w:val="36"/>
          <w:szCs w:val="36"/>
          <w:highlight w:val="none"/>
          <w:lang w:val="zh-TW" w:eastAsia="zh-TW"/>
        </w:rPr>
      </w:pPr>
    </w:p>
    <w:p w14:paraId="52222BF9">
      <w:pPr>
        <w:pStyle w:val="37"/>
        <w:pageBreakBefore w:val="0"/>
        <w:widowControl w:val="0"/>
        <w:tabs>
          <w:tab w:val="left" w:pos="0"/>
        </w:tabs>
        <w:kinsoku/>
        <w:overflowPunct/>
        <w:autoSpaceDE/>
        <w:autoSpaceDN/>
        <w:bidi w:val="0"/>
        <w:adjustRightInd w:val="0"/>
        <w:snapToGrid w:val="0"/>
        <w:spacing w:line="400" w:lineRule="exact"/>
        <w:ind w:firstLine="720" w:firstLineChars="200"/>
        <w:jc w:val="center"/>
        <w:textAlignment w:val="auto"/>
        <w:rPr>
          <w:rFonts w:hint="eastAsia" w:ascii="方正小标宋简体" w:hAnsi="方正小标宋简体" w:eastAsia="方正小标宋简体" w:cs="方正小标宋简体"/>
          <w:bCs w:val="0"/>
          <w:sz w:val="36"/>
          <w:szCs w:val="36"/>
          <w:highlight w:val="none"/>
          <w:u w:val="none"/>
          <w:lang w:eastAsia="zh-CN"/>
        </w:rPr>
      </w:pPr>
    </w:p>
    <w:p w14:paraId="5B271DCC">
      <w:pPr>
        <w:pStyle w:val="37"/>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720" w:firstLineChars="200"/>
        <w:jc w:val="center"/>
        <w:textAlignment w:val="auto"/>
        <w:rPr>
          <w:rFonts w:hint="eastAsia" w:ascii="仿宋_GB2312" w:hAnsi="仿宋_GB2312" w:eastAsia="仿宋_GB2312" w:cs="仿宋_GB2312"/>
          <w:b/>
          <w:bCs/>
          <w:color w:val="auto"/>
          <w:sz w:val="36"/>
          <w:szCs w:val="36"/>
          <w:highlight w:val="none"/>
          <w:lang w:val="en-US" w:eastAsia="zh-CN"/>
        </w:rPr>
      </w:pPr>
      <w:r>
        <w:rPr>
          <w:rFonts w:hint="eastAsia" w:ascii="方正小标宋简体" w:hAnsi="方正小标宋简体" w:eastAsia="方正小标宋简体" w:cs="方正小标宋简体"/>
          <w:bCs w:val="0"/>
          <w:sz w:val="36"/>
          <w:szCs w:val="36"/>
          <w:highlight w:val="none"/>
          <w:u w:val="none"/>
          <w:lang w:eastAsia="zh-CN"/>
        </w:rPr>
        <w:t>成都市技师学院</w:t>
      </w:r>
      <w:r>
        <w:rPr>
          <w:rFonts w:hint="eastAsia" w:ascii="方正小标宋简体" w:hAnsi="方正小标宋简体" w:eastAsia="方正小标宋简体" w:cs="方正小标宋简体"/>
          <w:bCs w:val="0"/>
          <w:sz w:val="36"/>
          <w:szCs w:val="36"/>
          <w:highlight w:val="none"/>
          <w:u w:val="none"/>
          <w:lang w:val="en-US" w:eastAsia="zh-CN"/>
        </w:rPr>
        <w:t>2025年秋季至2028年春季</w:t>
      </w:r>
      <w:r>
        <w:rPr>
          <w:rFonts w:hint="eastAsia" w:ascii="方正小标宋简体" w:hAnsi="方正小标宋简体" w:eastAsia="方正小标宋简体" w:cs="方正小标宋简体"/>
          <w:bCs w:val="0"/>
          <w:sz w:val="36"/>
          <w:szCs w:val="36"/>
          <w:highlight w:val="none"/>
          <w:u w:val="none"/>
          <w:lang w:eastAsia="zh-CN"/>
        </w:rPr>
        <w:t>新都校区食堂经营服务采购项目</w:t>
      </w:r>
    </w:p>
    <w:p w14:paraId="59BFE406">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p>
    <w:p w14:paraId="16D62226">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p>
    <w:p w14:paraId="197A4DB6">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合同编号：</w:t>
      </w:r>
    </w:p>
    <w:p w14:paraId="5F4CE29D">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签订地点：</w:t>
      </w:r>
    </w:p>
    <w:p w14:paraId="3D8E8DB2">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签订时间：</w:t>
      </w:r>
    </w:p>
    <w:p w14:paraId="218AB52B">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甲方(招标人)：</w:t>
      </w:r>
    </w:p>
    <w:p w14:paraId="382DC8B0">
      <w:pPr>
        <w:pStyle w:val="44"/>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乙方(投标人)：    </w:t>
      </w:r>
    </w:p>
    <w:p w14:paraId="60D15266">
      <w:pPr>
        <w:pageBreakBefore w:val="0"/>
        <w:widowControl w:val="0"/>
        <w:tabs>
          <w:tab w:val="left" w:pos="0"/>
        </w:tabs>
        <w:kinsoku/>
        <w:overflow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根据《中华人民共和国民法典》及</w:t>
      </w:r>
      <w:r>
        <w:rPr>
          <w:rFonts w:hint="eastAsia" w:ascii="宋体" w:hAnsi="宋体" w:eastAsia="宋体" w:cs="宋体"/>
          <w:bCs w:val="0"/>
          <w:color w:val="auto"/>
          <w:sz w:val="24"/>
          <w:szCs w:val="24"/>
          <w:highlight w:val="none"/>
          <w:u w:val="none"/>
          <w:lang w:eastAsia="zh-CN"/>
        </w:rPr>
        <w:t>成都市技师学院</w:t>
      </w:r>
      <w:r>
        <w:rPr>
          <w:rFonts w:hint="eastAsia" w:ascii="宋体" w:hAnsi="宋体" w:eastAsia="宋体" w:cs="宋体"/>
          <w:bCs w:val="0"/>
          <w:color w:val="auto"/>
          <w:sz w:val="24"/>
          <w:szCs w:val="24"/>
          <w:highlight w:val="none"/>
          <w:u w:val="none"/>
          <w:lang w:val="en-US" w:eastAsia="zh-CN"/>
        </w:rPr>
        <w:t>2025年秋季至2028年春季</w:t>
      </w:r>
      <w:r>
        <w:rPr>
          <w:rFonts w:hint="eastAsia" w:ascii="宋体" w:hAnsi="宋体" w:eastAsia="宋体" w:cs="宋体"/>
          <w:bCs w:val="0"/>
          <w:color w:val="auto"/>
          <w:sz w:val="24"/>
          <w:szCs w:val="24"/>
          <w:highlight w:val="none"/>
          <w:u w:val="none"/>
          <w:lang w:eastAsia="zh-CN"/>
        </w:rPr>
        <w:t>新都校区食堂经营服务采购项目</w:t>
      </w:r>
      <w:r>
        <w:rPr>
          <w:rFonts w:hint="eastAsia" w:ascii="宋体" w:hAnsi="宋体" w:eastAsia="宋体" w:cs="宋体"/>
          <w:b w:val="0"/>
          <w:bCs w:val="0"/>
          <w:color w:val="auto"/>
          <w:sz w:val="24"/>
          <w:szCs w:val="24"/>
          <w:highlight w:val="none"/>
          <w:lang w:val="en-US" w:eastAsia="zh-CN"/>
        </w:rPr>
        <w:t>（项目编号：XXX）的招标文件、乙方的采购文件及中标通知书，甲、乙双方同意签订本合同，共同遵守如下条款：</w:t>
      </w:r>
    </w:p>
    <w:p w14:paraId="47FD8494">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003A0445">
      <w:pPr>
        <w:keepNext w:val="0"/>
        <w:keepLines w:val="0"/>
        <w:pageBreakBefore w:val="0"/>
        <w:widowControl w:val="0"/>
        <w:kinsoku/>
        <w:wordWrap/>
        <w:overflowPunct/>
        <w:topLinePunct w:val="0"/>
        <w:autoSpaceDE/>
        <w:autoSpaceDN/>
        <w:bidi w:val="0"/>
        <w:adjustRightInd w:val="0"/>
        <w:snapToGrid w:val="0"/>
        <w:spacing w:line="400" w:lineRule="exact"/>
        <w:ind w:firstLine="464" w:firstLineChars="200"/>
        <w:jc w:val="both"/>
        <w:textAlignment w:val="auto"/>
        <w:rPr>
          <w:rFonts w:hint="eastAsia" w:ascii="宋体" w:hAnsi="宋体" w:eastAsia="宋体" w:cs="宋体"/>
          <w:bCs/>
          <w:sz w:val="24"/>
          <w:szCs w:val="24"/>
          <w:highlight w:val="none"/>
        </w:rPr>
      </w:pPr>
      <w:r>
        <w:rPr>
          <w:rFonts w:hint="eastAsia" w:ascii="宋体" w:hAnsi="宋体" w:eastAsia="宋体" w:cs="宋体"/>
          <w:spacing w:val="-4"/>
          <w:sz w:val="24"/>
          <w:szCs w:val="24"/>
          <w:highlight w:val="none"/>
          <w:lang w:eastAsia="zh-CN"/>
        </w:rPr>
        <w:t>成都市技师学院新都</w:t>
      </w:r>
      <w:r>
        <w:rPr>
          <w:rFonts w:hint="eastAsia" w:ascii="宋体" w:hAnsi="宋体" w:eastAsia="宋体" w:cs="宋体"/>
          <w:spacing w:val="-4"/>
          <w:sz w:val="24"/>
          <w:szCs w:val="24"/>
          <w:highlight w:val="none"/>
        </w:rPr>
        <w:t>校区食堂面积约为</w:t>
      </w:r>
      <w:r>
        <w:rPr>
          <w:rFonts w:hint="eastAsia" w:ascii="宋体" w:hAnsi="宋体" w:eastAsia="宋体" w:cs="宋体"/>
          <w:spacing w:val="-4"/>
          <w:sz w:val="24"/>
          <w:szCs w:val="24"/>
          <w:highlight w:val="none"/>
          <w:lang w:val="en-US" w:eastAsia="zh-CN"/>
        </w:rPr>
        <w:t>1060</w:t>
      </w:r>
      <w:r>
        <w:rPr>
          <w:rFonts w:hint="eastAsia" w:ascii="宋体" w:hAnsi="宋体" w:eastAsia="宋体" w:cs="宋体"/>
          <w:spacing w:val="-4"/>
          <w:sz w:val="24"/>
          <w:szCs w:val="24"/>
          <w:highlight w:val="none"/>
        </w:rPr>
        <w:t>㎡；现该校区在校师生规模约750人。</w:t>
      </w:r>
      <w:r>
        <w:rPr>
          <w:rFonts w:hint="eastAsia" w:ascii="宋体" w:hAnsi="宋体" w:eastAsia="宋体" w:cs="宋体"/>
          <w:spacing w:val="-4"/>
          <w:sz w:val="24"/>
          <w:szCs w:val="24"/>
          <w:highlight w:val="none"/>
          <w:lang w:eastAsia="zh-CN"/>
        </w:rPr>
        <w:t>乙方</w:t>
      </w:r>
      <w:r>
        <w:rPr>
          <w:rFonts w:hint="eastAsia" w:ascii="宋体" w:hAnsi="宋体" w:eastAsia="宋体" w:cs="宋体"/>
          <w:spacing w:val="-4"/>
          <w:sz w:val="24"/>
          <w:szCs w:val="24"/>
          <w:highlight w:val="none"/>
        </w:rPr>
        <w:t>负责</w:t>
      </w:r>
      <w:r>
        <w:rPr>
          <w:rFonts w:hint="eastAsia" w:ascii="宋体" w:hAnsi="宋体" w:eastAsia="宋体" w:cs="宋体"/>
          <w:spacing w:val="-4"/>
          <w:sz w:val="24"/>
          <w:szCs w:val="24"/>
          <w:highlight w:val="none"/>
          <w:lang w:eastAsia="zh-CN"/>
        </w:rPr>
        <w:t>新都</w:t>
      </w:r>
      <w:r>
        <w:rPr>
          <w:rFonts w:hint="eastAsia" w:ascii="宋体" w:hAnsi="宋体" w:eastAsia="宋体" w:cs="宋体"/>
          <w:spacing w:val="-4"/>
          <w:sz w:val="24"/>
          <w:szCs w:val="24"/>
          <w:highlight w:val="none"/>
        </w:rPr>
        <w:t>校区食堂经营和日常管理，为</w:t>
      </w:r>
      <w:r>
        <w:rPr>
          <w:rFonts w:hint="eastAsia" w:ascii="宋体" w:hAnsi="宋体" w:eastAsia="宋体" w:cs="宋体"/>
          <w:spacing w:val="-4"/>
          <w:sz w:val="24"/>
          <w:szCs w:val="24"/>
          <w:highlight w:val="none"/>
          <w:lang w:eastAsia="zh-CN"/>
        </w:rPr>
        <w:t>新都</w:t>
      </w:r>
      <w:r>
        <w:rPr>
          <w:rFonts w:hint="eastAsia" w:ascii="宋体" w:hAnsi="宋体" w:eastAsia="宋体" w:cs="宋体"/>
          <w:spacing w:val="-4"/>
          <w:sz w:val="24"/>
          <w:szCs w:val="24"/>
          <w:highlight w:val="none"/>
        </w:rPr>
        <w:t xml:space="preserve">校区师生提供安全卫生营养的三餐服务。  </w:t>
      </w:r>
    </w:p>
    <w:p w14:paraId="65A55C65">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二、服务内容及要求</w:t>
      </w:r>
    </w:p>
    <w:p w14:paraId="6E49BEF7">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p w14:paraId="54561953">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三、履约时间</w:t>
      </w:r>
    </w:p>
    <w:p w14:paraId="68B3396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i w:val="0"/>
          <w:iCs w:val="0"/>
          <w:color w:val="auto"/>
          <w:sz w:val="24"/>
          <w:szCs w:val="24"/>
          <w:highlight w:val="none"/>
          <w:lang w:val="en-US" w:eastAsia="zh-CN"/>
        </w:rPr>
        <w:t>1.</w:t>
      </w:r>
      <w:r>
        <w:rPr>
          <w:rFonts w:hint="eastAsia" w:ascii="宋体" w:hAnsi="宋体" w:eastAsia="宋体" w:cs="宋体"/>
          <w:b w:val="0"/>
          <w:bCs/>
          <w:i w:val="0"/>
          <w:iCs w:val="0"/>
          <w:color w:val="auto"/>
          <w:sz w:val="24"/>
          <w:szCs w:val="24"/>
          <w:highlight w:val="none"/>
        </w:rPr>
        <w:t>本项目为一采三年（合同签订之日起-202</w:t>
      </w:r>
      <w:r>
        <w:rPr>
          <w:rFonts w:hint="eastAsia" w:ascii="宋体" w:hAnsi="宋体" w:eastAsia="宋体" w:cs="宋体"/>
          <w:b w:val="0"/>
          <w:bCs/>
          <w:i w:val="0"/>
          <w:iCs w:val="0"/>
          <w:color w:val="auto"/>
          <w:sz w:val="24"/>
          <w:szCs w:val="24"/>
          <w:highlight w:val="none"/>
          <w:lang w:val="en-US" w:eastAsia="zh-CN"/>
        </w:rPr>
        <w:t>8</w:t>
      </w:r>
      <w:r>
        <w:rPr>
          <w:rFonts w:hint="eastAsia" w:ascii="宋体" w:hAnsi="宋体" w:eastAsia="宋体" w:cs="宋体"/>
          <w:b w:val="0"/>
          <w:bCs/>
          <w:i w:val="0"/>
          <w:iCs w:val="0"/>
          <w:color w:val="auto"/>
          <w:sz w:val="24"/>
          <w:szCs w:val="24"/>
          <w:highlight w:val="none"/>
        </w:rPr>
        <w:t>年7月16日），合同一年一签。每年度验收为合格</w:t>
      </w:r>
      <w:r>
        <w:rPr>
          <w:rFonts w:hint="eastAsia" w:ascii="宋体" w:hAnsi="宋体" w:eastAsia="宋体" w:cs="宋体"/>
          <w:b w:val="0"/>
          <w:bCs/>
          <w:i w:val="0"/>
          <w:iCs w:val="0"/>
          <w:color w:val="auto"/>
          <w:sz w:val="24"/>
          <w:szCs w:val="24"/>
          <w:highlight w:val="none"/>
          <w:lang w:eastAsia="zh-CN"/>
        </w:rPr>
        <w:t>才</w:t>
      </w:r>
      <w:r>
        <w:rPr>
          <w:rFonts w:hint="eastAsia" w:ascii="宋体" w:hAnsi="宋体" w:eastAsia="宋体" w:cs="宋体"/>
          <w:b w:val="0"/>
          <w:bCs/>
          <w:i w:val="0"/>
          <w:iCs w:val="0"/>
          <w:color w:val="auto"/>
          <w:sz w:val="24"/>
          <w:szCs w:val="24"/>
          <w:highlight w:val="none"/>
          <w:lang w:val="en-US" w:eastAsia="zh-CN"/>
        </w:rPr>
        <w:t>续签下一学年</w:t>
      </w:r>
      <w:r>
        <w:rPr>
          <w:rFonts w:hint="eastAsia" w:ascii="宋体" w:hAnsi="宋体" w:eastAsia="宋体" w:cs="宋体"/>
          <w:color w:val="000000"/>
          <w:kern w:val="0"/>
          <w:sz w:val="24"/>
          <w:szCs w:val="24"/>
          <w:highlight w:val="none"/>
          <w:lang w:val="en-US" w:eastAsia="zh-CN" w:bidi="ar-SA"/>
        </w:rPr>
        <w:t>合同。</w:t>
      </w:r>
    </w:p>
    <w:p w14:paraId="3C80F15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2.本次合同期限为：2025年XX月XX日至2026年7月16日。</w:t>
      </w:r>
    </w:p>
    <w:p w14:paraId="31201161">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四、履约地点</w:t>
      </w:r>
    </w:p>
    <w:p w14:paraId="32D19E55">
      <w:pPr>
        <w:pageBreakBefore w:val="0"/>
        <w:widowControl w:val="0"/>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成都市新都区新都镇西北村10社301号（成都市技师学院新都校区）。</w:t>
      </w:r>
    </w:p>
    <w:p w14:paraId="484FC42A">
      <w:pPr>
        <w:pageBreakBefore w:val="0"/>
        <w:widowControl w:val="0"/>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五、付款安排、支付方式</w:t>
      </w:r>
    </w:p>
    <w:p w14:paraId="06BD582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1.食堂营业款通过校园支付系统统一支付到甲方财务账户，</w:t>
      </w:r>
      <w:r>
        <w:rPr>
          <w:rFonts w:hint="eastAsia" w:ascii="宋体" w:hAnsi="宋体" w:eastAsia="宋体" w:cs="宋体"/>
          <w:b w:val="0"/>
          <w:bCs/>
          <w:i w:val="0"/>
          <w:iCs w:val="0"/>
          <w:color w:val="auto"/>
          <w:sz w:val="24"/>
          <w:szCs w:val="24"/>
          <w:highlight w:val="none"/>
          <w:lang w:eastAsia="zh-CN"/>
        </w:rPr>
        <w:t>乙方</w:t>
      </w:r>
      <w:r>
        <w:rPr>
          <w:rFonts w:hint="eastAsia" w:ascii="宋体" w:hAnsi="宋体" w:eastAsia="宋体" w:cs="宋体"/>
          <w:b w:val="0"/>
          <w:bCs/>
          <w:i w:val="0"/>
          <w:iCs w:val="0"/>
          <w:color w:val="auto"/>
          <w:sz w:val="24"/>
          <w:szCs w:val="24"/>
          <w:highlight w:val="none"/>
        </w:rPr>
        <w:t>结清当月的水、电、气费后，</w:t>
      </w:r>
      <w:r>
        <w:rPr>
          <w:rFonts w:hint="eastAsia" w:ascii="宋体" w:hAnsi="宋体" w:eastAsia="宋体" w:cs="宋体"/>
          <w:b w:val="0"/>
          <w:bCs/>
          <w:i w:val="0"/>
          <w:iCs w:val="0"/>
          <w:color w:val="auto"/>
          <w:sz w:val="24"/>
          <w:szCs w:val="24"/>
          <w:highlight w:val="none"/>
          <w:lang w:eastAsia="zh-CN"/>
        </w:rPr>
        <w:t>甲方</w:t>
      </w:r>
      <w:r>
        <w:rPr>
          <w:rFonts w:hint="eastAsia" w:ascii="宋体" w:hAnsi="宋体" w:eastAsia="宋体" w:cs="宋体"/>
          <w:b w:val="0"/>
          <w:bCs/>
          <w:i w:val="0"/>
          <w:iCs w:val="0"/>
          <w:color w:val="auto"/>
          <w:sz w:val="24"/>
          <w:szCs w:val="24"/>
          <w:highlight w:val="none"/>
          <w:lang w:val="en-US" w:eastAsia="zh-CN"/>
        </w:rPr>
        <w:t>按月营业额的100%</w:t>
      </w:r>
      <w:r>
        <w:rPr>
          <w:rFonts w:hint="eastAsia" w:ascii="宋体" w:hAnsi="宋体" w:eastAsia="宋体" w:cs="宋体"/>
          <w:b w:val="0"/>
          <w:bCs/>
          <w:i w:val="0"/>
          <w:iCs w:val="0"/>
          <w:color w:val="auto"/>
          <w:sz w:val="24"/>
          <w:szCs w:val="24"/>
          <w:highlight w:val="none"/>
        </w:rPr>
        <w:t>在次月15个日历天内支付给</w:t>
      </w:r>
      <w:r>
        <w:rPr>
          <w:rFonts w:hint="eastAsia" w:ascii="宋体" w:hAnsi="宋体" w:eastAsia="宋体" w:cs="宋体"/>
          <w:b w:val="0"/>
          <w:bCs/>
          <w:i w:val="0"/>
          <w:iCs w:val="0"/>
          <w:color w:val="auto"/>
          <w:sz w:val="24"/>
          <w:szCs w:val="24"/>
          <w:highlight w:val="none"/>
          <w:lang w:val="en-US" w:eastAsia="zh-CN"/>
        </w:rPr>
        <w:t>投标人</w:t>
      </w:r>
      <w:r>
        <w:rPr>
          <w:rFonts w:hint="eastAsia" w:ascii="宋体" w:hAnsi="宋体" w:eastAsia="宋体" w:cs="宋体"/>
          <w:b w:val="0"/>
          <w:bCs/>
          <w:i w:val="0"/>
          <w:iCs w:val="0"/>
          <w:color w:val="auto"/>
          <w:sz w:val="24"/>
          <w:szCs w:val="24"/>
          <w:highlight w:val="none"/>
        </w:rPr>
        <w:t>。</w:t>
      </w:r>
    </w:p>
    <w:p w14:paraId="4F84715C">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2.支付方式：对公转账。</w:t>
      </w:r>
    </w:p>
    <w:p w14:paraId="655A6C62">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六、人员配置要求</w:t>
      </w:r>
    </w:p>
    <w:p w14:paraId="0B2BE9B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p w14:paraId="3AFCF646">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七、保险要求</w:t>
      </w:r>
    </w:p>
    <w:p w14:paraId="56932FE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snapToGrid w:val="0"/>
          <w:sz w:val="24"/>
          <w:szCs w:val="24"/>
          <w:highlight w:val="none"/>
          <w:lang w:val="en-US" w:eastAsia="zh-CN"/>
        </w:rPr>
        <w:t>乙方为本项目服务食堂购买保额</w:t>
      </w:r>
      <w:r>
        <w:rPr>
          <w:rFonts w:hint="eastAsia" w:ascii="宋体" w:hAnsi="宋体" w:eastAsia="宋体" w:cs="宋体"/>
          <w:snapToGrid w:val="0"/>
          <w:sz w:val="24"/>
          <w:szCs w:val="24"/>
          <w:highlight w:val="none"/>
          <w:u w:val="single"/>
          <w:lang w:val="en-US" w:eastAsia="zh-CN"/>
        </w:rPr>
        <w:t xml:space="preserve">       </w:t>
      </w:r>
      <w:r>
        <w:rPr>
          <w:rFonts w:hint="eastAsia" w:ascii="宋体" w:hAnsi="宋体" w:eastAsia="宋体" w:cs="宋体"/>
          <w:snapToGrid w:val="0"/>
          <w:sz w:val="24"/>
          <w:szCs w:val="24"/>
          <w:highlight w:val="none"/>
          <w:lang w:val="en-US" w:eastAsia="zh-CN"/>
        </w:rPr>
        <w:t>万元的食品安全责任保险或公众责任保险。</w:t>
      </w:r>
    </w:p>
    <w:p w14:paraId="26BEAE58">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八、其他商务要求</w:t>
      </w:r>
    </w:p>
    <w:p w14:paraId="1564FB5E">
      <w:pPr>
        <w:pStyle w:val="4"/>
        <w:keepNext/>
        <w:keepLines/>
        <w:pageBreakBefore w:val="0"/>
        <w:widowControl w:val="0"/>
        <w:tabs>
          <w:tab w:val="left" w:pos="0"/>
        </w:tabs>
        <w:kinsoku/>
        <w:wordWrap/>
        <w:overflowPunct/>
        <w:topLinePunct w:val="0"/>
        <w:autoSpaceDE/>
        <w:autoSpaceDN/>
        <w:bidi w:val="0"/>
        <w:adjustRightInd w:val="0"/>
        <w:snapToGrid w:val="0"/>
        <w:spacing w:before="0" w:after="0" w:line="40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甲方提供水、电、气等基础设施设备，乙方对校区食堂原有的设备、设施要合理正确使用，负责设备、设施的日常维护、维修并承担相关维护维修费用。乙方自行添置的设施用具，必须符合国家及甲方的相关规定以及安全卫生等要求，不得私自改装食堂设备。合同期满后，乙方离场时乙方投入的可移动设备应清场，不可移动的设施设备不得拆除和破坏；乙方须确保甲方原有和乙方投入的不可移动设施设备能正常使用。</w:t>
      </w:r>
    </w:p>
    <w:p w14:paraId="41296824">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九、双方的权利和义务</w:t>
      </w:r>
    </w:p>
    <w:p w14:paraId="2260CB2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一）甲方的权利和义务</w:t>
      </w:r>
    </w:p>
    <w:p w14:paraId="53D99D89">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1、甲方为乙方的经营活动创造便利条件，为乙方在项目建设、运营管理等方面提供必要的协助，并按照当地物价部门核定的现行标准收取水电气相关费用。</w:t>
      </w:r>
    </w:p>
    <w:p w14:paraId="2A95244A">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2、甲方有权监督乙方严格执行《中华人民共和国食品安全法》等政策制度。</w:t>
      </w:r>
    </w:p>
    <w:p w14:paraId="1F355829">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3、甲方依法依规对乙方的食品安全、经营管理、服务质量等进行监管，并对饭菜价格和质量进行监督检查。</w:t>
      </w:r>
    </w:p>
    <w:p w14:paraId="0EC41740">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4、甲方有权督促乙方组织其员工定期到当地防疫部门进行体检。对不适宜做餐饮工作的人员，甲方有权要求乙方及时辞退，乙方须无条件执行。</w:t>
      </w:r>
    </w:p>
    <w:p w14:paraId="37A2942B">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5、甲方有权要求乙方及时维修、更换存在安全隐患的设施设备，乙方须无条件执行。</w:t>
      </w:r>
    </w:p>
    <w:p w14:paraId="481B8D0D">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6、甲方负责协调卫生、防疫、教育等相关部门到校检查指导，对有关部门提出的问题责成乙方及时整改，应交卫生、防疫等部门的有关费用由乙方负责。</w:t>
      </w:r>
    </w:p>
    <w:p w14:paraId="393FCBBD">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7、在不影响乙方正常经营活动的情况下，甲方可以安排学生到乙方经营的食堂开展教育教学活动和勤工俭学活动。</w:t>
      </w:r>
    </w:p>
    <w:p w14:paraId="0BBEA15E">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乙方的权利和义务</w:t>
      </w:r>
    </w:p>
    <w:p w14:paraId="5C87B248">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、乙方必须明码标价，菜品价格不得高于同期同地同品质的价格，并报请甲方同意并接受甲方的监督。价格的确定及调整须报备同意，不得擅自涨价。</w:t>
      </w:r>
    </w:p>
    <w:p w14:paraId="77463ADD">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、乙方在服务期间更换服务人员，需报甲方备案；</w:t>
      </w:r>
    </w:p>
    <w:p w14:paraId="05B49F7F">
      <w:pPr>
        <w:keepNext w:val="0"/>
        <w:keepLines w:val="0"/>
        <w:pageBreakBefore w:val="0"/>
        <w:widowControl w:val="0"/>
        <w:tabs>
          <w:tab w:val="left" w:pos="0"/>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、乙方须严格按照甲方招标文件、乙方投标文件、合同约定、承诺履约。</w:t>
      </w:r>
    </w:p>
    <w:p w14:paraId="160EECAF">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、乙方不得采取转让、挂靠、分包、分租及提成等方式履行合同，一经发现甲方有权单方面终止合同并没收履约保证金。</w:t>
      </w:r>
    </w:p>
    <w:p w14:paraId="250210F4">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、乙方在项目执行过程中定期及时向甲方通告本项目的重大事项及其进度。</w:t>
      </w:r>
    </w:p>
    <w:p w14:paraId="7C0F8F75">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、合同期间所产生的餐饮服务费为全包价，采购大宗食材等原材料均由乙方承担。</w:t>
      </w:r>
    </w:p>
    <w:p w14:paraId="4484A281">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、乙方需自备经营周转金。</w:t>
      </w:r>
    </w:p>
    <w:p w14:paraId="1946C863">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、在合同期内，若政府对项目所在的校区作出置换决定后，本项合同自动终止，并且甲方不承担违约责任和任何赔偿责任。</w:t>
      </w:r>
    </w:p>
    <w:p w14:paraId="6ABAE76D">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kern w:val="2"/>
          <w:sz w:val="24"/>
          <w:szCs w:val="24"/>
          <w:highlight w:val="none"/>
          <w:lang w:val="en-US" w:eastAsia="zh-CN" w:bidi="ar-SA"/>
        </w:rPr>
        <w:t>履约保证金要求。</w:t>
      </w:r>
    </w:p>
    <w:p w14:paraId="1DEBB0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（一）履约保证金缴纳金额及方式</w:t>
      </w:r>
    </w:p>
    <w:p w14:paraId="428C255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履约保证金为人民币10万元(大写:壹拾万元整)，乙方应在中标通知书发出之日起至合同签订前，以银行转账非现金形式向甲方提交履约保证金。</w:t>
      </w:r>
    </w:p>
    <w:p w14:paraId="4AA546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（二）履约保证金汇入的银行及账号</w:t>
      </w:r>
    </w:p>
    <w:p w14:paraId="21C84E4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收款账号:成都市技师学院</w:t>
      </w:r>
    </w:p>
    <w:p w14:paraId="244C348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开户行:工行四川成都分行郫都红光支行</w:t>
      </w:r>
    </w:p>
    <w:p w14:paraId="6A5898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银行账号:4402054609100031151</w:t>
      </w:r>
    </w:p>
    <w:p w14:paraId="5D6785A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（三）履约保证金扣除情形</w:t>
      </w:r>
    </w:p>
    <w:p w14:paraId="79A711C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1.乙方缴纳了履约保证金，但因自身原因被取消成交资格或在中标公示期满之日起30个日历天(含法定节假日)内乙方不按招标文件确定的事项与甲方签订合同的，其履约保证金不予退还。</w:t>
      </w:r>
    </w:p>
    <w:p w14:paraId="49333AF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履行期内，乙方在原材料采购和食堂经营管理中有违反相关规定和制度的行为，若第一次出现，乙方应在甲方限定的期限内完成整改；整改不到位或者再次发现的，视不同情形扣除相应履约保证金500-5000元/次，若扣除的费用不足以弥补因上述行为给甲方造成的损失的，甲方有权按损失金额扣除履约保证金。</w:t>
      </w:r>
    </w:p>
    <w:p w14:paraId="5C7F80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t>合同履行期内，乙方拖欠甲方水电气费的，甲方有权在履约保证金里扣除。</w:t>
      </w:r>
      <w:r>
        <w:rPr>
          <w:rFonts w:hint="eastAsia" w:ascii="宋体" w:hAnsi="宋体" w:eastAsia="宋体" w:cs="宋体"/>
          <w:sz w:val="24"/>
          <w:szCs w:val="24"/>
          <w:highlight w:val="none"/>
        </w:rPr>
        <w:t xml:space="preserve"> </w:t>
      </w:r>
    </w:p>
    <w:p w14:paraId="62574D2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论合同因何原因终止或解除，乙方须在合同终止或解除后10个日历天内撤离，并结清与甲方的债权债务以及一切移交手续。如不按时移交，甲方将从投标人缴纳的履约保证金中按照1000元/日扣除，逾期超过10日仍未撤离学校并结清手续的，乙方所投入的设备等归甲方所有，且甲方有权对乙方缴纳的履约保证金全额扣除。</w:t>
      </w:r>
    </w:p>
    <w:p w14:paraId="2C792D0A">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履行期内，甲方每学年开展不少于4次食堂满意度调查。年度满意率达75%及以上，不扣除履约保证金；年度满意率低于75%（不含）高于70%（含），每低1个百分点（不足1个百分点按1个百分点计算）扣除1000元履约保证金；年度满意率低于70%（不含），扣除履约保证的20%。</w:t>
      </w:r>
    </w:p>
    <w:p w14:paraId="69DDED94">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6.乙方违反法律法规、未按招投标文件或合同约定执行的，履约保证金不予退还。</w:t>
      </w:r>
    </w:p>
    <w:p w14:paraId="5C750E2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7.若有履约保证金的扣除，乙方须在5个日历天之内将履约保证金的扣除部分补齐，并将交付凭证复印件报甲方。</w:t>
      </w:r>
    </w:p>
    <w:p w14:paraId="04398AE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（四）履约保证金退还</w:t>
      </w:r>
    </w:p>
    <w:p w14:paraId="4C2C8BC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满，乙方须在10个日历天内撤离，并结清与甲方的所有债权债务，以及完成合同所有条款规定的义务后，经甲方验收合格才能办理移交手续。移交手续办理完毕后，乙方人提出书面申请，甲方在30个日历天内无息退还乙方应退部分履约保证金。乙方在经营期投入的物品未搬离的，视为乙方自愿放弃，均由甲方自行处置。</w:t>
      </w:r>
    </w:p>
    <w:p w14:paraId="5DD5480A">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十一、验收、交付标准和方法</w:t>
      </w:r>
    </w:p>
    <w:p w14:paraId="576958C2">
      <w:pPr>
        <w:pStyle w:val="4"/>
        <w:keepNext/>
        <w:keepLines/>
        <w:pageBreakBefore w:val="0"/>
        <w:widowControl w:val="0"/>
        <w:tabs>
          <w:tab w:val="left" w:pos="0"/>
        </w:tabs>
        <w:kinsoku/>
        <w:wordWrap/>
        <w:overflowPunct/>
        <w:topLinePunct w:val="0"/>
        <w:autoSpaceDE/>
        <w:autoSpaceDN/>
        <w:bidi w:val="0"/>
        <w:adjustRightInd w:val="0"/>
        <w:snapToGrid w:val="0"/>
        <w:spacing w:before="0" w:after="0" w:line="40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1.验</w:t>
      </w:r>
      <w:r>
        <w:rPr>
          <w:rFonts w:hint="eastAsia" w:ascii="宋体" w:hAnsi="宋体" w:eastAsia="宋体" w:cs="宋体"/>
          <w:b w:val="0"/>
          <w:bCs w:val="0"/>
          <w:color w:val="auto"/>
          <w:kern w:val="2"/>
          <w:sz w:val="24"/>
          <w:szCs w:val="24"/>
          <w:highlight w:val="none"/>
          <w:lang w:val="en-US" w:eastAsia="zh-CN" w:bidi="ar-SA"/>
        </w:rPr>
        <w:t>收</w:t>
      </w:r>
      <w:r>
        <w:rPr>
          <w:rFonts w:hint="eastAsia" w:ascii="宋体" w:hAnsi="宋体" w:eastAsia="宋体" w:cs="宋体"/>
          <w:b w:val="0"/>
          <w:bCs w:val="0"/>
          <w:color w:val="auto"/>
          <w:sz w:val="24"/>
          <w:szCs w:val="24"/>
          <w:highlight w:val="none"/>
          <w:lang w:val="en-US" w:eastAsia="zh-CN"/>
        </w:rPr>
        <w:t>主体：甲方。</w:t>
      </w:r>
    </w:p>
    <w:p w14:paraId="5DAE0E92">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2.验收时间：</w:t>
      </w:r>
    </w:p>
    <w:p w14:paraId="439C13E9">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（1）年度验收，年度合同到期前30天内。</w:t>
      </w:r>
    </w:p>
    <w:p w14:paraId="22C43613">
      <w:pPr>
        <w:pStyle w:val="2"/>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（2）项目验收，项目服务期结束后</w:t>
      </w:r>
    </w:p>
    <w:p w14:paraId="79C51C67">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3.验收方式(方法)：甲方内部验收。</w:t>
      </w:r>
    </w:p>
    <w:p w14:paraId="3F7D4728">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4.验收程序：甲方组织验收小组，制定验收方案并实施验收。</w:t>
      </w:r>
    </w:p>
    <w:p w14:paraId="383E3D71">
      <w:pPr>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5.验收内容：</w:t>
      </w:r>
    </w:p>
    <w:p w14:paraId="571D8A5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（1）招标文件及合同内容执行</w:t>
      </w:r>
      <w:r>
        <w:rPr>
          <w:rFonts w:hint="eastAsia" w:ascii="宋体" w:hAnsi="宋体" w:eastAsia="宋体" w:cs="宋体"/>
          <w:b w:val="0"/>
          <w:bCs w:val="0"/>
          <w:color w:val="auto"/>
          <w:sz w:val="24"/>
          <w:szCs w:val="24"/>
          <w:highlight w:val="none"/>
          <w:lang w:val="en-US" w:eastAsia="zh-CN"/>
        </w:rPr>
        <w:t>情况</w:t>
      </w:r>
    </w:p>
    <w:p w14:paraId="4A8786EC">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（2）考核表及食堂满意度，本年度经营期间考核分数达75分及以上且年度食堂满意率达75%及以上，视为验收合格，签署《验收报告单》；若验收不合格，甲方不再续签合同，并按合同约定追究乙方违约责任。</w:t>
      </w:r>
    </w:p>
    <w:p w14:paraId="6AB2AEA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6.验收标准：按招标文件的服务内容及要求、乙方的投标文件及承诺、合同约定进行验收。其他未尽事宜应参照《财政部关于进一步加强政府采购需求和履约验收管理的指导意见》(</w:t>
      </w:r>
      <w:r>
        <w:rPr>
          <w:rFonts w:hint="eastAsia" w:ascii="宋体" w:hAnsi="宋体" w:eastAsia="宋体" w:cs="宋体"/>
          <w:color w:val="auto"/>
          <w:sz w:val="24"/>
          <w:szCs w:val="24"/>
          <w:highlight w:val="none"/>
        </w:rPr>
        <w:t>财库[2016]205号</w:t>
      </w:r>
      <w:r>
        <w:rPr>
          <w:rFonts w:hint="eastAsia" w:ascii="宋体" w:hAnsi="宋体" w:eastAsia="宋体" w:cs="宋体"/>
          <w:b w:val="0"/>
          <w:bCs w:val="0"/>
          <w:color w:val="auto"/>
          <w:sz w:val="24"/>
          <w:szCs w:val="24"/>
          <w:highlight w:val="none"/>
          <w:lang w:val="en-US" w:eastAsia="zh-CN"/>
        </w:rPr>
        <w:t>)的要求进行验收。</w:t>
      </w:r>
    </w:p>
    <w:p w14:paraId="028DF02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kern w:val="2"/>
          <w:sz w:val="24"/>
          <w:szCs w:val="24"/>
          <w:highlight w:val="none"/>
          <w:lang w:val="en-US" w:eastAsia="zh-CN" w:bidi="ar-SA"/>
        </w:rPr>
        <w:t>.交付标准和方法</w:t>
      </w:r>
      <w:r>
        <w:rPr>
          <w:rFonts w:hint="eastAsia" w:ascii="宋体" w:hAnsi="宋体" w:eastAsia="宋体" w:cs="宋体"/>
          <w:b w:val="0"/>
          <w:bCs w:val="0"/>
          <w:color w:val="auto"/>
          <w:sz w:val="24"/>
          <w:szCs w:val="24"/>
          <w:highlight w:val="none"/>
          <w:lang w:val="en-US" w:eastAsia="zh-CN"/>
        </w:rPr>
        <w:t>：乙方按合同约定且通过以上验收</w:t>
      </w:r>
    </w:p>
    <w:p w14:paraId="1D46CFC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均合格，视为乙方完成履约验收。</w:t>
      </w:r>
    </w:p>
    <w:p w14:paraId="66B64A1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十二、知识产权</w:t>
      </w:r>
    </w:p>
    <w:p w14:paraId="4BE212E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乙方应保证所提供的服务或其任何一部分均不会侵犯任何第三方的专利权、商标权、著作权或其他知识产权。</w:t>
      </w:r>
    </w:p>
    <w:p w14:paraId="5F2D242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十三、合同的变更和终止</w:t>
      </w:r>
    </w:p>
    <w:p w14:paraId="39D8E0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(一)乙方经营期出现下列情况之一的，甲方有权解除合同，履约保证金不予退还;同时，乙方须按照甲方确定的时间节点无条件退出，并自行承担全部法律责任和经济责任，且乙方不得主张任何补偿:</w:t>
      </w:r>
    </w:p>
    <w:p w14:paraId="298DDA5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1.在经营期内违反相关法律法规并造成不良后果的。</w:t>
      </w:r>
    </w:p>
    <w:p w14:paraId="7F9404D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2.在经营期内存在安全隐患，且未按甲方要求整改到位的;</w:t>
      </w:r>
    </w:p>
    <w:p w14:paraId="6A3462B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3.在经营期内进行转包或擅自分包的;</w:t>
      </w:r>
    </w:p>
    <w:p w14:paraId="5219E82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4.在经营期内发生消防安全或食品安全责任事故的;</w:t>
      </w:r>
    </w:p>
    <w:p w14:paraId="293B3F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5.在经营期内发生因伙食质量、食品卫生、服务质量等问题而引起学生罢餐等群体事件，包括如员工罢工造成不良影响的;</w:t>
      </w:r>
    </w:p>
    <w:p w14:paraId="34AD26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6.不严格执行合同相关条款，经甲方提出整改而未进行整改、或反复出现问题的;</w:t>
      </w:r>
    </w:p>
    <w:p w14:paraId="40BE087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7.在经营期服务期内，连续两次满意度测评满意率在70%以下的。</w:t>
      </w:r>
    </w:p>
    <w:p w14:paraId="4265BE8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8.材来源不正规(更换未及时给学校备案)，来源记录不全或者造假;掺杂使假，销售无证、过期、有害食品的;留样未按照要求执行、食品添加剂、清洗消毒不安规定使用的;</w:t>
      </w:r>
    </w:p>
    <w:p w14:paraId="112F189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9.未按合同经营范围经营，经学校规劝，限期整改无效的;</w:t>
      </w:r>
    </w:p>
    <w:p w14:paraId="59BF5AF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10.未经学校同意，利用学校资源从事校外社会餐饮服务或擅自停餐造成严重影响的;</w:t>
      </w:r>
    </w:p>
    <w:p w14:paraId="38DE7EC4">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11.在学期中途无故停止营业的或则未按照学院就餐时间提供就餐服务的;</w:t>
      </w:r>
    </w:p>
    <w:p w14:paraId="5158395C">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12.未按相关法律法规和签订的合同的约定，建立相应管理制度或执行制度不力，经营管理混乱，被相关行政部门处罚且限期整改不力的;</w:t>
      </w:r>
    </w:p>
    <w:p w14:paraId="3BF5701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13.其它严重违规、违约行为。</w:t>
      </w:r>
    </w:p>
    <w:p w14:paraId="09A7F00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(二)乙方因自身原因提前解除合同，必须提前一学期书面告知甲方，经甲方同意后按照甲方确定的时间节点进行有序退出，履约保证金不予退还，且乙方不得主张任何补偿并承担全部经济责任。</w:t>
      </w:r>
    </w:p>
    <w:p w14:paraId="39009BAA">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(三)因学校搬迁、自然灾害等不可抗力因素导致食堂不能正常经营，双方可终止合同，且互不补偿;甲方退还乙方履约保证金。</w:t>
      </w:r>
    </w:p>
    <w:p w14:paraId="78DF7917">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十四、解决争议的方法</w:t>
      </w:r>
    </w:p>
    <w:p w14:paraId="7E1512C6">
      <w:pPr>
        <w:pageBreakBefore w:val="0"/>
        <w:tabs>
          <w:tab w:val="left" w:pos="0"/>
        </w:tabs>
        <w:kinsoku/>
        <w:overflowPunct/>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本合同及合同有关事项发生的争议，双方应本着诚实信用原则，通过友好协商解决；经双方协商仍无法达成一致的，任何一方均同意向甲方所在地的人民法院提起诉讼，依法维护其合法权益。除判决另有规定外，一切涉诉合理费用均由违约方承担。</w:t>
      </w:r>
    </w:p>
    <w:p w14:paraId="1516CA12">
      <w:pPr>
        <w:pageBreakBefore w:val="0"/>
        <w:tabs>
          <w:tab w:val="left" w:pos="0"/>
        </w:tabs>
        <w:kinsoku/>
        <w:overflowPunct/>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在诉讼过程中，除双方有争议且正在进行诉讼的部分外，对无争议的其他义务双方均应继续履行。</w:t>
      </w:r>
    </w:p>
    <w:p w14:paraId="54ADC41B">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十五、违约责任</w:t>
      </w:r>
    </w:p>
    <w:p w14:paraId="30F87854">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（一）甲方违约责任甲方未向乙方提供经营活动便利条件，未在乙方项目建设、运营管理等方面提供必要的协助，由甲方自行承担相应后果。</w:t>
      </w:r>
    </w:p>
    <w:p w14:paraId="370F081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（二）乙方违约责任乙方出现下列情形之一的，应承担相应的法律责任和经济责任。</w:t>
      </w:r>
    </w:p>
    <w:p w14:paraId="5866D6DC">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提供的服务不符合甲方招标文件、乙方投标文件、合同约定、乙方承诺以及相关法律法规要求的，甲方有权要求乙方进行整改;若乙方拒绝整改或在甲方通知的时间内无法整改合格的，甲方有权解除合同且不再退还乙方履约保证金;</w:t>
      </w:r>
    </w:p>
    <w:p w14:paraId="63F79A5D">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2.乙方拒绝缴纳水电气费给甲方造成损失的，甲方可向乙方进行催缴并要求乙方赔偿全部损失;经催缴乙方仍不缴纳的，甲方还有权解除合同并直接从履约保证金中直</w:t>
      </w:r>
    </w:p>
    <w:p w14:paraId="01E84BC8">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接扣除上述费用;</w:t>
      </w:r>
    </w:p>
    <w:p w14:paraId="25E5FC9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3.乙方给甲方或甲方师生或其他第三方造成财产、人身等安全事故的，责任由乙方全部承担，乙方应赔偿由此给甲方造成的全部损失(包括但不限于甲方对外赔偿的费</w:t>
      </w:r>
    </w:p>
    <w:p w14:paraId="7793545F">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用、律师费、诉讼费、保全费、鉴定费等)。</w:t>
      </w:r>
    </w:p>
    <w:p w14:paraId="694D637C">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十六、组成本合同的有关文件 </w:t>
      </w:r>
    </w:p>
    <w:p w14:paraId="2486FEB8">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下列关于</w:t>
      </w:r>
      <w:r>
        <w:rPr>
          <w:rFonts w:hint="eastAsia" w:ascii="宋体" w:hAnsi="宋体" w:eastAsia="宋体" w:cs="宋体"/>
          <w:bCs w:val="0"/>
          <w:color w:val="auto"/>
          <w:sz w:val="24"/>
          <w:szCs w:val="24"/>
          <w:highlight w:val="none"/>
          <w:u w:val="none"/>
          <w:lang w:eastAsia="zh-CN"/>
        </w:rPr>
        <w:t>成都市技师学院</w:t>
      </w:r>
      <w:r>
        <w:rPr>
          <w:rFonts w:hint="eastAsia" w:ascii="宋体" w:hAnsi="宋体" w:eastAsia="宋体" w:cs="宋体"/>
          <w:bCs w:val="0"/>
          <w:color w:val="auto"/>
          <w:sz w:val="24"/>
          <w:szCs w:val="24"/>
          <w:highlight w:val="none"/>
          <w:u w:val="none"/>
          <w:lang w:val="en-US" w:eastAsia="zh-CN"/>
        </w:rPr>
        <w:t>2025年秋季至2028年春季</w:t>
      </w:r>
      <w:r>
        <w:rPr>
          <w:rFonts w:hint="eastAsia" w:ascii="宋体" w:hAnsi="宋体" w:eastAsia="宋体" w:cs="宋体"/>
          <w:bCs w:val="0"/>
          <w:color w:val="auto"/>
          <w:sz w:val="24"/>
          <w:szCs w:val="24"/>
          <w:highlight w:val="none"/>
          <w:u w:val="none"/>
          <w:lang w:eastAsia="zh-CN"/>
        </w:rPr>
        <w:t>新都校区食堂经营服务采购</w:t>
      </w:r>
      <w:r>
        <w:rPr>
          <w:rFonts w:hint="eastAsia" w:ascii="宋体" w:hAnsi="宋体" w:eastAsia="宋体" w:cs="宋体"/>
          <w:b w:val="0"/>
          <w:bCs w:val="0"/>
          <w:color w:val="auto"/>
          <w:sz w:val="24"/>
          <w:szCs w:val="24"/>
          <w:highlight w:val="none"/>
          <w:lang w:val="en-US" w:eastAsia="zh-CN"/>
        </w:rPr>
        <w:t>项目(项目编号：XXXX)的招标文件、乙方的投标文件或与本次采购活动方式相适应的文件及有关附件是本合同不可分割的组成部分，与本合同具有同等法律效力，这些文件包括但不限于：</w:t>
      </w:r>
    </w:p>
    <w:p w14:paraId="13E56B9A">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1.甲方的招标文件；</w:t>
      </w:r>
    </w:p>
    <w:p w14:paraId="3496118A">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2.乙方的投标文件；</w:t>
      </w:r>
    </w:p>
    <w:p w14:paraId="52B54C9C">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3.中标通知书；</w:t>
      </w:r>
    </w:p>
    <w:p w14:paraId="0813CF5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4.本合同列出的附件（食堂满意度调查表、食堂承包经营服务考核细则）。</w:t>
      </w:r>
    </w:p>
    <w:p w14:paraId="176E246E">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十七、其他</w:t>
      </w:r>
    </w:p>
    <w:p w14:paraId="4561297F">
      <w:pPr>
        <w:pageBreakBefore w:val="0"/>
        <w:widowControl w:val="0"/>
        <w:numPr>
          <w:ilvl w:val="0"/>
          <w:numId w:val="5"/>
        </w:numPr>
        <w:tabs>
          <w:tab w:val="left" w:pos="0"/>
          <w:tab w:val="clear" w:pos="312"/>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乙方制定的管理方案、应急预案详见乙方投标文件。</w:t>
      </w:r>
    </w:p>
    <w:p w14:paraId="5E420AF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2.本合同自乙方缴纳履约保证金后，且合同经双方法定代表人或授权委托代理人签字并加盖章后生效。</w:t>
      </w:r>
    </w:p>
    <w:p w14:paraId="4D15AB9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3.如有未尽事宜，由双方依法订立补充合同。</w:t>
      </w:r>
    </w:p>
    <w:p w14:paraId="000B16F0">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4.本合同一式六份，甲方五份，乙方一份，均具有同等法律效力。</w:t>
      </w:r>
    </w:p>
    <w:p w14:paraId="22196C3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5.如本合同与甲方的采购文件、乙方的响应文件不一致时，以甲方的采购文件、乙方的响应文件为准。</w:t>
      </w:r>
    </w:p>
    <w:p w14:paraId="2E9503E5">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6.本合同应按照中华人民共和国的现行法律进行解释。</w:t>
      </w:r>
    </w:p>
    <w:p w14:paraId="5EC6A866">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(以下无正文)</w:t>
      </w:r>
    </w:p>
    <w:p w14:paraId="5634AC66">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甲方：  （盖章）   </w:t>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 xml:space="preserve">   乙方：   （盖章）</w:t>
      </w:r>
    </w:p>
    <w:p w14:paraId="5CB0A72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法定代表人（授权代表）：   法定代表人（授权代表）：</w:t>
      </w:r>
    </w:p>
    <w:p w14:paraId="3098FF9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                地    址：</w:t>
      </w:r>
    </w:p>
    <w:p w14:paraId="404BFB5E">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                开户银行：</w:t>
      </w:r>
    </w:p>
    <w:p w14:paraId="76C91DF8">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                账    号：</w:t>
      </w:r>
    </w:p>
    <w:p w14:paraId="6158181E">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    话：                电    话：</w:t>
      </w:r>
    </w:p>
    <w:p w14:paraId="6486D730">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传    真：                传    真：</w:t>
      </w:r>
    </w:p>
    <w:p w14:paraId="54120A6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    箱：                邮    箱：</w:t>
      </w:r>
    </w:p>
    <w:p w14:paraId="0932682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lang w:val="en-US" w:eastAsia="zh-CN"/>
        </w:rPr>
        <w:t>签约日期：XX年XX月XX日 签约日期：XX年XX月XX日</w:t>
      </w:r>
    </w:p>
    <w:p w14:paraId="497C2D8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0A980DFF">
      <w:pPr>
        <w:keepNext/>
        <w:keepLines/>
        <w:tabs>
          <w:tab w:val="left" w:pos="0"/>
        </w:tabs>
        <w:adjustRightInd w:val="0"/>
        <w:snapToGrid w:val="0"/>
        <w:rPr>
          <w:rFonts w:hint="eastAsia" w:ascii="宋体" w:hAnsi="宋体" w:eastAsia="宋体" w:cs="宋体"/>
          <w:b w:val="0"/>
          <w:bCs w:val="0"/>
          <w:sz w:val="24"/>
          <w:highlight w:val="none"/>
          <w:lang w:val="en-US" w:eastAsia="zh-CN"/>
        </w:rPr>
      </w:pPr>
      <w:r>
        <w:rPr>
          <w:rFonts w:hint="eastAsia" w:ascii="宋体" w:hAnsi="宋体" w:eastAsia="宋体" w:cs="宋体"/>
          <w:b w:val="0"/>
          <w:bCs w:val="0"/>
          <w:spacing w:val="8"/>
          <w:kern w:val="0"/>
          <w:sz w:val="24"/>
          <w:highlight w:val="none"/>
        </w:rPr>
        <w:t>附件</w:t>
      </w:r>
      <w:r>
        <w:rPr>
          <w:rFonts w:hint="eastAsia" w:ascii="宋体" w:hAnsi="宋体" w:eastAsia="宋体" w:cs="宋体"/>
          <w:b w:val="0"/>
          <w:bCs w:val="0"/>
          <w:spacing w:val="8"/>
          <w:kern w:val="0"/>
          <w:sz w:val="24"/>
          <w:highlight w:val="none"/>
          <w:lang w:val="en-US" w:eastAsia="zh-CN"/>
        </w:rPr>
        <w:t>1</w:t>
      </w:r>
    </w:p>
    <w:tbl>
      <w:tblPr>
        <w:tblStyle w:val="18"/>
        <w:tblW w:w="5000" w:type="pct"/>
        <w:jc w:val="center"/>
        <w:tblLayout w:type="autofit"/>
        <w:tblCellMar>
          <w:top w:w="0" w:type="dxa"/>
          <w:left w:w="108" w:type="dxa"/>
          <w:bottom w:w="0" w:type="dxa"/>
          <w:right w:w="108" w:type="dxa"/>
        </w:tblCellMar>
      </w:tblPr>
      <w:tblGrid>
        <w:gridCol w:w="644"/>
        <w:gridCol w:w="1068"/>
        <w:gridCol w:w="5214"/>
        <w:gridCol w:w="645"/>
        <w:gridCol w:w="1070"/>
        <w:gridCol w:w="646"/>
      </w:tblGrid>
      <w:tr w14:paraId="602E2FF2">
        <w:tblPrEx>
          <w:tblCellMar>
            <w:top w:w="0" w:type="dxa"/>
            <w:left w:w="108" w:type="dxa"/>
            <w:bottom w:w="0" w:type="dxa"/>
            <w:right w:w="108" w:type="dxa"/>
          </w:tblCellMar>
        </w:tblPrEx>
        <w:trPr>
          <w:trHeight w:val="567" w:hRule="atLeast"/>
          <w:jc w:val="center"/>
        </w:trPr>
        <w:tc>
          <w:tcPr>
            <w:tcW w:w="5000" w:type="pct"/>
            <w:gridSpan w:val="6"/>
            <w:tcBorders>
              <w:top w:val="nil"/>
              <w:left w:val="nil"/>
              <w:bottom w:val="nil"/>
              <w:right w:val="nil"/>
            </w:tcBorders>
            <w:shd w:val="clear" w:color="000000" w:fill="FFFFFF"/>
            <w:noWrap w:val="0"/>
            <w:vAlign w:val="center"/>
          </w:tcPr>
          <w:p w14:paraId="378DBD5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成都市技师学院</w:t>
            </w:r>
            <w:r>
              <w:rPr>
                <w:rFonts w:hint="eastAsia" w:ascii="宋体" w:hAnsi="宋体" w:eastAsia="宋体" w:cs="宋体"/>
                <w:b w:val="0"/>
                <w:bCs w:val="0"/>
                <w:kern w:val="0"/>
                <w:sz w:val="21"/>
                <w:szCs w:val="21"/>
                <w:highlight w:val="none"/>
                <w:lang w:bidi="ar"/>
              </w:rPr>
              <w:br w:type="textWrapping"/>
            </w:r>
            <w:r>
              <w:rPr>
                <w:rFonts w:hint="eastAsia" w:ascii="宋体" w:hAnsi="宋体" w:eastAsia="宋体" w:cs="宋体"/>
                <w:b w:val="0"/>
                <w:bCs w:val="0"/>
                <w:kern w:val="0"/>
                <w:sz w:val="21"/>
                <w:szCs w:val="21"/>
                <w:highlight w:val="none"/>
                <w:lang w:bidi="ar"/>
              </w:rPr>
              <w:t>食堂承包经营服务</w:t>
            </w:r>
            <w:r>
              <w:rPr>
                <w:rFonts w:hint="eastAsia" w:ascii="宋体" w:hAnsi="宋体" w:eastAsia="宋体" w:cs="宋体"/>
                <w:b w:val="0"/>
                <w:bCs w:val="0"/>
                <w:kern w:val="0"/>
                <w:sz w:val="21"/>
                <w:szCs w:val="21"/>
                <w:highlight w:val="none"/>
                <w:lang w:eastAsia="zh-CN" w:bidi="ar"/>
              </w:rPr>
              <w:t>考</w:t>
            </w:r>
            <w:r>
              <w:rPr>
                <w:rFonts w:hint="eastAsia" w:ascii="宋体" w:hAnsi="宋体" w:eastAsia="宋体" w:cs="宋体"/>
                <w:b w:val="0"/>
                <w:bCs w:val="0"/>
                <w:kern w:val="0"/>
                <w:sz w:val="21"/>
                <w:szCs w:val="21"/>
                <w:highlight w:val="none"/>
                <w:lang w:bidi="ar"/>
              </w:rPr>
              <w:t>核细则</w:t>
            </w:r>
          </w:p>
        </w:tc>
      </w:tr>
      <w:tr w14:paraId="6CA95DDA">
        <w:tblPrEx>
          <w:tblCellMar>
            <w:top w:w="0" w:type="dxa"/>
            <w:left w:w="108" w:type="dxa"/>
            <w:bottom w:w="0" w:type="dxa"/>
            <w:right w:w="108" w:type="dxa"/>
          </w:tblCellMar>
        </w:tblPrEx>
        <w:trPr>
          <w:trHeight w:val="567" w:hRule="atLeast"/>
          <w:jc w:val="center"/>
        </w:trPr>
        <w:tc>
          <w:tcPr>
            <w:tcW w:w="4652" w:type="pct"/>
            <w:gridSpan w:val="5"/>
            <w:tcBorders>
              <w:top w:val="nil"/>
              <w:left w:val="nil"/>
              <w:bottom w:val="single" w:color="auto" w:sz="4" w:space="0"/>
              <w:right w:val="nil"/>
            </w:tcBorders>
            <w:shd w:val="clear" w:color="000000" w:fill="FFFFFF"/>
            <w:noWrap/>
            <w:vAlign w:val="center"/>
          </w:tcPr>
          <w:p w14:paraId="7003B41D">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被考</w:t>
            </w:r>
            <w:r>
              <w:rPr>
                <w:rFonts w:hint="eastAsia" w:ascii="宋体" w:hAnsi="宋体" w:eastAsia="宋体" w:cs="宋体"/>
                <w:b w:val="0"/>
                <w:bCs w:val="0"/>
                <w:kern w:val="0"/>
                <w:sz w:val="21"/>
                <w:szCs w:val="21"/>
                <w:highlight w:val="none"/>
                <w:lang w:eastAsia="zh-CN" w:bidi="ar"/>
              </w:rPr>
              <w:t>核</w:t>
            </w:r>
            <w:r>
              <w:rPr>
                <w:rFonts w:hint="eastAsia" w:ascii="宋体" w:hAnsi="宋体" w:eastAsia="宋体" w:cs="宋体"/>
                <w:b w:val="0"/>
                <w:bCs w:val="0"/>
                <w:kern w:val="0"/>
                <w:sz w:val="21"/>
                <w:szCs w:val="21"/>
                <w:highlight w:val="none"/>
                <w:lang w:bidi="ar"/>
              </w:rPr>
              <w:t>食堂：                                          考</w:t>
            </w:r>
            <w:r>
              <w:rPr>
                <w:rFonts w:hint="eastAsia" w:ascii="宋体" w:hAnsi="宋体" w:eastAsia="宋体" w:cs="宋体"/>
                <w:b w:val="0"/>
                <w:bCs w:val="0"/>
                <w:kern w:val="0"/>
                <w:sz w:val="21"/>
                <w:szCs w:val="21"/>
                <w:highlight w:val="none"/>
                <w:lang w:eastAsia="zh-CN" w:bidi="ar"/>
              </w:rPr>
              <w:t>核</w:t>
            </w:r>
            <w:r>
              <w:rPr>
                <w:rFonts w:hint="eastAsia" w:ascii="宋体" w:hAnsi="宋体" w:eastAsia="宋体" w:cs="宋体"/>
                <w:b w:val="0"/>
                <w:bCs w:val="0"/>
                <w:kern w:val="0"/>
                <w:sz w:val="21"/>
                <w:szCs w:val="21"/>
                <w:highlight w:val="none"/>
                <w:lang w:bidi="ar"/>
              </w:rPr>
              <w:t>时间：</w:t>
            </w:r>
          </w:p>
        </w:tc>
        <w:tc>
          <w:tcPr>
            <w:tcW w:w="347" w:type="pct"/>
            <w:tcBorders>
              <w:top w:val="nil"/>
              <w:left w:val="nil"/>
              <w:bottom w:val="single" w:color="auto" w:sz="4" w:space="0"/>
              <w:right w:val="nil"/>
            </w:tcBorders>
            <w:shd w:val="clear" w:color="000000" w:fill="FFFFFF"/>
            <w:noWrap/>
            <w:vAlign w:val="center"/>
          </w:tcPr>
          <w:p w14:paraId="1072193E">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　</w:t>
            </w:r>
          </w:p>
        </w:tc>
      </w:tr>
      <w:tr w14:paraId="7E3FF2FB">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ECA3D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序号</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5C05C9">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考评项目</w:t>
            </w: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914E38">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考评内容</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164EA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分值</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951F9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考评得分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E2436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备注</w:t>
            </w:r>
          </w:p>
        </w:tc>
      </w:tr>
      <w:tr w14:paraId="00E7C7EB">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59564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w:t>
            </w:r>
          </w:p>
        </w:tc>
        <w:tc>
          <w:tcPr>
            <w:tcW w:w="57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BF7D0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一、制度流程标准</w:t>
            </w: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50859">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1、建立食品卫生安全管理制度和岗位工作安全责任制度，明确相关责任人，落实日常食品卫生安全管理工作检查制度</w:t>
            </w:r>
            <w:r>
              <w:rPr>
                <w:rFonts w:hint="eastAsia" w:ascii="宋体" w:hAnsi="宋体" w:eastAsia="宋体" w:cs="宋体"/>
                <w:b w:val="0"/>
                <w:bCs w:val="0"/>
                <w:kern w:val="0"/>
                <w:sz w:val="21"/>
                <w:szCs w:val="21"/>
                <w:highlight w:val="none"/>
                <w:lang w:eastAsia="zh-CN" w:bidi="ar"/>
              </w:rPr>
              <w:t>，</w:t>
            </w:r>
            <w:r>
              <w:rPr>
                <w:rFonts w:hint="eastAsia" w:ascii="宋体" w:hAnsi="宋体" w:eastAsia="宋体" w:cs="宋体"/>
                <w:b w:val="0"/>
                <w:bCs w:val="0"/>
                <w:snapToGrid w:val="0"/>
                <w:sz w:val="21"/>
                <w:szCs w:val="21"/>
                <w:highlight w:val="none"/>
              </w:rPr>
              <w:t>内容完整且符合项目要求、无缺陷的得</w:t>
            </w:r>
            <w:r>
              <w:rPr>
                <w:rFonts w:hint="eastAsia" w:ascii="宋体" w:hAnsi="宋体" w:eastAsia="宋体" w:cs="宋体"/>
                <w:b w:val="0"/>
                <w:bCs w:val="0"/>
                <w:snapToGrid w:val="0"/>
                <w:sz w:val="21"/>
                <w:szCs w:val="21"/>
                <w:highlight w:val="none"/>
                <w:lang w:val="en-US" w:eastAsia="zh-CN"/>
              </w:rPr>
              <w:t>8</w:t>
            </w:r>
            <w:r>
              <w:rPr>
                <w:rFonts w:hint="eastAsia" w:ascii="宋体" w:hAnsi="宋体" w:eastAsia="宋体" w:cs="宋体"/>
                <w:b w:val="0"/>
                <w:bCs w:val="0"/>
                <w:snapToGrid w:val="0"/>
                <w:sz w:val="21"/>
                <w:szCs w:val="21"/>
                <w:highlight w:val="none"/>
              </w:rPr>
              <w:t>分</w:t>
            </w:r>
            <w:r>
              <w:rPr>
                <w:rFonts w:hint="eastAsia" w:ascii="宋体" w:hAnsi="宋体" w:eastAsia="宋体" w:cs="宋体"/>
                <w:b w:val="0"/>
                <w:bCs w:val="0"/>
                <w:snapToGrid w:val="0"/>
                <w:sz w:val="21"/>
                <w:szCs w:val="21"/>
                <w:highlight w:val="none"/>
                <w:lang w:eastAsia="zh-CN"/>
              </w:rPr>
              <w:t>，</w:t>
            </w:r>
            <w:r>
              <w:rPr>
                <w:rFonts w:hint="eastAsia" w:ascii="宋体" w:hAnsi="宋体" w:eastAsia="宋体" w:cs="宋体"/>
                <w:b w:val="0"/>
                <w:bCs w:val="0"/>
                <w:snapToGrid w:val="0"/>
                <w:sz w:val="21"/>
                <w:szCs w:val="21"/>
                <w:highlight w:val="none"/>
              </w:rPr>
              <w:t>每缺少一项内容扣</w:t>
            </w:r>
            <w:r>
              <w:rPr>
                <w:rFonts w:hint="eastAsia" w:ascii="宋体" w:hAnsi="宋体" w:eastAsia="宋体" w:cs="宋体"/>
                <w:b w:val="0"/>
                <w:bCs w:val="0"/>
                <w:snapToGrid w:val="0"/>
                <w:sz w:val="21"/>
                <w:szCs w:val="21"/>
                <w:highlight w:val="none"/>
                <w:lang w:val="en-US" w:eastAsia="zh-CN"/>
              </w:rPr>
              <w:t>2</w:t>
            </w:r>
            <w:r>
              <w:rPr>
                <w:rFonts w:hint="eastAsia" w:ascii="宋体" w:hAnsi="宋体" w:eastAsia="宋体" w:cs="宋体"/>
                <w:b w:val="0"/>
                <w:bCs w:val="0"/>
                <w:snapToGrid w:val="0"/>
                <w:sz w:val="21"/>
                <w:szCs w:val="21"/>
                <w:highlight w:val="none"/>
              </w:rPr>
              <w:t>分，每项内容存在一处缺陷的扣</w:t>
            </w:r>
            <w:r>
              <w:rPr>
                <w:rFonts w:hint="eastAsia" w:ascii="宋体" w:hAnsi="宋体" w:eastAsia="宋体" w:cs="宋体"/>
                <w:b w:val="0"/>
                <w:bCs w:val="0"/>
                <w:snapToGrid w:val="0"/>
                <w:sz w:val="21"/>
                <w:szCs w:val="21"/>
                <w:highlight w:val="none"/>
                <w:lang w:val="en-US" w:eastAsia="zh-CN"/>
              </w:rPr>
              <w:t>1</w:t>
            </w:r>
            <w:r>
              <w:rPr>
                <w:rFonts w:hint="eastAsia" w:ascii="宋体" w:hAnsi="宋体" w:eastAsia="宋体" w:cs="宋体"/>
                <w:b w:val="0"/>
                <w:bCs w:val="0"/>
                <w:snapToGrid w:val="0"/>
                <w:sz w:val="21"/>
                <w:szCs w:val="21"/>
                <w:highlight w:val="none"/>
              </w:rPr>
              <w:t>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E820F9">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8</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4EF88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B1D793">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568D7F8D">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103DD3">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27864">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5F1E3A">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r>
              <w:rPr>
                <w:rFonts w:hint="eastAsia" w:ascii="宋体" w:hAnsi="宋体" w:eastAsia="宋体" w:cs="宋体"/>
                <w:b w:val="0"/>
                <w:bCs w:val="0"/>
                <w:kern w:val="0"/>
                <w:sz w:val="21"/>
                <w:szCs w:val="21"/>
                <w:highlight w:val="none"/>
                <w:lang w:eastAsia="zh-CN" w:bidi="ar"/>
              </w:rPr>
              <w:t>食品安全总监</w:t>
            </w:r>
            <w:r>
              <w:rPr>
                <w:rFonts w:hint="eastAsia" w:ascii="宋体" w:hAnsi="宋体" w:eastAsia="宋体" w:cs="宋体"/>
                <w:b w:val="0"/>
                <w:bCs w:val="0"/>
                <w:kern w:val="0"/>
                <w:sz w:val="21"/>
                <w:szCs w:val="21"/>
                <w:highlight w:val="none"/>
                <w:lang w:bidi="ar"/>
              </w:rPr>
              <w:t>及食品安全员、承担食堂食品卫生管理职责</w:t>
            </w:r>
            <w:r>
              <w:rPr>
                <w:rFonts w:hint="eastAsia" w:ascii="宋体" w:hAnsi="宋体" w:eastAsia="宋体" w:cs="宋体"/>
                <w:b w:val="0"/>
                <w:bCs w:val="0"/>
                <w:kern w:val="0"/>
                <w:sz w:val="21"/>
                <w:szCs w:val="21"/>
                <w:highlight w:val="none"/>
                <w:lang w:eastAsia="zh-CN" w:bidi="ar"/>
              </w:rPr>
              <w:t>，有食品安全总监任命文件得</w:t>
            </w:r>
            <w:r>
              <w:rPr>
                <w:rFonts w:hint="eastAsia" w:ascii="宋体" w:hAnsi="宋体" w:eastAsia="宋体" w:cs="宋体"/>
                <w:b w:val="0"/>
                <w:bCs w:val="0"/>
                <w:kern w:val="0"/>
                <w:sz w:val="21"/>
                <w:szCs w:val="21"/>
                <w:highlight w:val="none"/>
                <w:lang w:val="en-US" w:eastAsia="zh-CN" w:bidi="ar"/>
              </w:rPr>
              <w:t>3分</w:t>
            </w:r>
            <w:r>
              <w:rPr>
                <w:rFonts w:hint="eastAsia" w:ascii="宋体" w:hAnsi="宋体" w:eastAsia="宋体" w:cs="宋体"/>
                <w:b w:val="0"/>
                <w:bCs w:val="0"/>
                <w:kern w:val="0"/>
                <w:sz w:val="21"/>
                <w:szCs w:val="21"/>
                <w:highlight w:val="none"/>
                <w:lang w:eastAsia="zh-CN" w:bidi="ar"/>
              </w:rPr>
              <w:t>，有食品安全员任命文件得</w:t>
            </w:r>
            <w:r>
              <w:rPr>
                <w:rFonts w:hint="eastAsia" w:ascii="宋体" w:hAnsi="宋体" w:eastAsia="宋体" w:cs="宋体"/>
                <w:b w:val="0"/>
                <w:bCs w:val="0"/>
                <w:kern w:val="0"/>
                <w:sz w:val="21"/>
                <w:szCs w:val="21"/>
                <w:highlight w:val="none"/>
                <w:lang w:val="en-US" w:eastAsia="zh-CN" w:bidi="ar"/>
              </w:rPr>
              <w:t>3分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97841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6</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FAE9DC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015B15">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044520C5">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BB295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8D562A">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51500">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kern w:val="0"/>
                <w:sz w:val="21"/>
                <w:szCs w:val="21"/>
                <w:highlight w:val="none"/>
                <w:lang w:bidi="ar"/>
              </w:rPr>
              <w:t>3、认真落实了食品安全责任制度，明确各岗位、环节从业人员的责任</w:t>
            </w:r>
            <w:r>
              <w:rPr>
                <w:rFonts w:hint="eastAsia" w:ascii="宋体" w:hAnsi="宋体" w:eastAsia="宋体" w:cs="宋体"/>
                <w:b w:val="0"/>
                <w:bCs w:val="0"/>
                <w:kern w:val="0"/>
                <w:sz w:val="21"/>
                <w:szCs w:val="21"/>
                <w:highlight w:val="none"/>
                <w:lang w:eastAsia="zh-CN" w:bidi="ar"/>
              </w:rPr>
              <w:t>，</w:t>
            </w:r>
            <w:r>
              <w:rPr>
                <w:rFonts w:hint="eastAsia" w:ascii="宋体" w:hAnsi="宋体" w:eastAsia="宋体" w:cs="宋体"/>
                <w:b w:val="0"/>
                <w:bCs w:val="0"/>
                <w:snapToGrid w:val="0"/>
                <w:sz w:val="21"/>
                <w:szCs w:val="21"/>
                <w:highlight w:val="none"/>
              </w:rPr>
              <w:t>内容完整且符合项目要求、无缺陷的得</w:t>
            </w:r>
            <w:r>
              <w:rPr>
                <w:rFonts w:hint="eastAsia" w:ascii="宋体" w:hAnsi="宋体" w:eastAsia="宋体" w:cs="宋体"/>
                <w:b w:val="0"/>
                <w:bCs w:val="0"/>
                <w:snapToGrid w:val="0"/>
                <w:sz w:val="21"/>
                <w:szCs w:val="21"/>
                <w:highlight w:val="none"/>
                <w:lang w:val="en-US" w:eastAsia="zh-CN"/>
              </w:rPr>
              <w:t>3</w:t>
            </w:r>
            <w:r>
              <w:rPr>
                <w:rFonts w:hint="eastAsia" w:ascii="宋体" w:hAnsi="宋体" w:eastAsia="宋体" w:cs="宋体"/>
                <w:b w:val="0"/>
                <w:bCs w:val="0"/>
                <w:snapToGrid w:val="0"/>
                <w:sz w:val="21"/>
                <w:szCs w:val="21"/>
                <w:highlight w:val="none"/>
              </w:rPr>
              <w:t>分</w:t>
            </w:r>
            <w:r>
              <w:rPr>
                <w:rFonts w:hint="eastAsia" w:ascii="宋体" w:hAnsi="宋体" w:eastAsia="宋体" w:cs="宋体"/>
                <w:b w:val="0"/>
                <w:bCs w:val="0"/>
                <w:snapToGrid w:val="0"/>
                <w:sz w:val="21"/>
                <w:szCs w:val="21"/>
                <w:highlight w:val="none"/>
                <w:lang w:eastAsia="zh-CN"/>
              </w:rPr>
              <w:t>，</w:t>
            </w:r>
            <w:r>
              <w:rPr>
                <w:rFonts w:hint="eastAsia" w:ascii="宋体" w:hAnsi="宋体" w:eastAsia="宋体" w:cs="宋体"/>
                <w:b w:val="0"/>
                <w:bCs w:val="0"/>
                <w:snapToGrid w:val="0"/>
                <w:sz w:val="21"/>
                <w:szCs w:val="21"/>
                <w:highlight w:val="none"/>
              </w:rPr>
              <w:t>每缺少一项内容扣</w:t>
            </w:r>
            <w:r>
              <w:rPr>
                <w:rFonts w:hint="eastAsia" w:ascii="宋体" w:hAnsi="宋体" w:eastAsia="宋体" w:cs="宋体"/>
                <w:b w:val="0"/>
                <w:bCs w:val="0"/>
                <w:snapToGrid w:val="0"/>
                <w:sz w:val="21"/>
                <w:szCs w:val="21"/>
                <w:highlight w:val="none"/>
                <w:lang w:val="en-US" w:eastAsia="zh-CN"/>
              </w:rPr>
              <w:t>1</w:t>
            </w:r>
            <w:r>
              <w:rPr>
                <w:rFonts w:hint="eastAsia" w:ascii="宋体" w:hAnsi="宋体" w:eastAsia="宋体" w:cs="宋体"/>
                <w:b w:val="0"/>
                <w:bCs w:val="0"/>
                <w:snapToGrid w:val="0"/>
                <w:sz w:val="21"/>
                <w:szCs w:val="21"/>
                <w:highlight w:val="none"/>
              </w:rPr>
              <w:t>分，每项内容存在一处缺陷的扣</w:t>
            </w:r>
            <w:r>
              <w:rPr>
                <w:rFonts w:hint="eastAsia" w:ascii="宋体" w:hAnsi="宋体" w:eastAsia="宋体" w:cs="宋体"/>
                <w:b w:val="0"/>
                <w:bCs w:val="0"/>
                <w:snapToGrid w:val="0"/>
                <w:sz w:val="21"/>
                <w:szCs w:val="21"/>
                <w:highlight w:val="none"/>
                <w:lang w:val="en-US" w:eastAsia="zh-CN"/>
              </w:rPr>
              <w:t>0.2</w:t>
            </w:r>
            <w:r>
              <w:rPr>
                <w:rFonts w:hint="eastAsia" w:ascii="宋体" w:hAnsi="宋体" w:eastAsia="宋体" w:cs="宋体"/>
                <w:b w:val="0"/>
                <w:bCs w:val="0"/>
                <w:snapToGrid w:val="0"/>
                <w:sz w:val="21"/>
                <w:szCs w:val="21"/>
                <w:highlight w:val="none"/>
              </w:rPr>
              <w:t>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64BD8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E86BA2">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593F3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429E9030">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CD74EE">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4</w:t>
            </w:r>
          </w:p>
        </w:tc>
        <w:tc>
          <w:tcPr>
            <w:tcW w:w="57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B4DD3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二、规范管理</w:t>
            </w: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62B17E">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严格按照《中华人民共和国食品安全法》、四川省《学校食品安全与营养健康管理规定》、四川省《餐饮服务食品安全操作规范》等国家省市及地方对学校食品卫生安全的规定执行；严格按照《成都市技师学院食堂管理实施细则(暂行)》等开展管理经营工作</w:t>
            </w:r>
            <w:r>
              <w:rPr>
                <w:rFonts w:hint="eastAsia" w:ascii="宋体" w:hAnsi="宋体" w:eastAsia="宋体" w:cs="宋体"/>
                <w:b w:val="0"/>
                <w:bCs w:val="0"/>
                <w:kern w:val="0"/>
                <w:sz w:val="21"/>
                <w:szCs w:val="21"/>
                <w:highlight w:val="none"/>
                <w:lang w:eastAsia="zh-CN" w:bidi="ar"/>
              </w:rPr>
              <w:t>，有食品出入库验收台账，食品安全“日管控、周排查、月调度”记录，食品添加剂使用记录，食品留样记录，餐具消毒记录，从业人员晨检记录，从业人员培训记录得</w:t>
            </w:r>
            <w:r>
              <w:rPr>
                <w:rFonts w:hint="eastAsia" w:ascii="宋体" w:hAnsi="宋体" w:eastAsia="宋体" w:cs="宋体"/>
                <w:b w:val="0"/>
                <w:bCs w:val="0"/>
                <w:kern w:val="0"/>
                <w:sz w:val="21"/>
                <w:szCs w:val="21"/>
                <w:highlight w:val="none"/>
                <w:lang w:val="en-US" w:eastAsia="zh-CN" w:bidi="ar"/>
              </w:rPr>
              <w:t>10分，每缺少一项记录扣1分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3642B2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10</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0C4EB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5363C2">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78EC504C">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36832B5">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5</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E1B35C">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81FB73">
            <w:pPr>
              <w:numPr>
                <w:ilvl w:val="0"/>
                <w:numId w:val="6"/>
              </w:num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必须执行明码标价制度</w:t>
            </w:r>
            <w:r>
              <w:rPr>
                <w:rFonts w:hint="eastAsia" w:ascii="宋体" w:hAnsi="宋体" w:eastAsia="宋体" w:cs="宋体"/>
                <w:b w:val="0"/>
                <w:bCs w:val="0"/>
                <w:kern w:val="0"/>
                <w:sz w:val="21"/>
                <w:szCs w:val="21"/>
                <w:highlight w:val="none"/>
                <w:lang w:eastAsia="zh-CN" w:bidi="ar"/>
              </w:rPr>
              <w:t>，所有售卖食品均在窗口明码标价得</w:t>
            </w:r>
            <w:r>
              <w:rPr>
                <w:rFonts w:hint="eastAsia" w:ascii="宋体" w:hAnsi="宋体" w:eastAsia="宋体" w:cs="宋体"/>
                <w:b w:val="0"/>
                <w:bCs w:val="0"/>
                <w:kern w:val="0"/>
                <w:sz w:val="21"/>
                <w:szCs w:val="21"/>
                <w:highlight w:val="none"/>
                <w:lang w:val="en-US" w:eastAsia="zh-CN" w:bidi="ar"/>
              </w:rPr>
              <w:t>3分，每有一个标价不全扣0.5分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A8A84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CA16F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1D2EE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54080AC9">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B12143">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6</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659121">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493AB2">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3、做好原材料统采工作，如实准确完整记录食品进货查验等信息，保证食材可追溯；采购食材应当按照安全卫生、符合营养健康需要的原则进行采购</w:t>
            </w:r>
            <w:r>
              <w:rPr>
                <w:rFonts w:hint="eastAsia" w:ascii="宋体" w:hAnsi="宋体" w:eastAsia="宋体" w:cs="宋体"/>
                <w:b w:val="0"/>
                <w:bCs w:val="0"/>
                <w:kern w:val="0"/>
                <w:sz w:val="21"/>
                <w:szCs w:val="21"/>
                <w:highlight w:val="none"/>
                <w:lang w:eastAsia="zh-CN" w:bidi="ar"/>
              </w:rPr>
              <w:t>，食材供货商合同、营业执照、许可证或备案证齐全得</w:t>
            </w:r>
            <w:r>
              <w:rPr>
                <w:rFonts w:hint="eastAsia" w:ascii="宋体" w:hAnsi="宋体" w:eastAsia="宋体" w:cs="宋体"/>
                <w:b w:val="0"/>
                <w:bCs w:val="0"/>
                <w:kern w:val="0"/>
                <w:sz w:val="21"/>
                <w:szCs w:val="21"/>
                <w:highlight w:val="none"/>
                <w:lang w:val="en-US" w:eastAsia="zh-CN" w:bidi="ar"/>
              </w:rPr>
              <w:t>5分，每有一项资料不全扣1分</w:t>
            </w:r>
            <w:r>
              <w:rPr>
                <w:rFonts w:hint="eastAsia" w:ascii="宋体" w:hAnsi="宋体" w:eastAsia="宋体" w:cs="宋体"/>
                <w:b w:val="0"/>
                <w:bCs w:val="0"/>
                <w:kern w:val="0"/>
                <w:sz w:val="21"/>
                <w:szCs w:val="21"/>
                <w:highlight w:val="none"/>
                <w:lang w:eastAsia="zh-CN" w:bidi="ar"/>
              </w:rPr>
              <w:t>；食品品质合格证明性文件齐全得</w:t>
            </w:r>
            <w:r>
              <w:rPr>
                <w:rFonts w:hint="eastAsia" w:ascii="宋体" w:hAnsi="宋体" w:eastAsia="宋体" w:cs="宋体"/>
                <w:b w:val="0"/>
                <w:bCs w:val="0"/>
                <w:kern w:val="0"/>
                <w:sz w:val="21"/>
                <w:szCs w:val="21"/>
                <w:highlight w:val="none"/>
                <w:lang w:val="en-US" w:eastAsia="zh-CN" w:bidi="ar"/>
              </w:rPr>
              <w:t>5分，每有一项资料不全扣1分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72A10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10</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7CE7C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2C3B5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2DC0731A">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D6C44F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7</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F46562">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69AAA4">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4、不存在国家禁止使用或来源不明的食品及原料、食品添加剂及食品相关产品</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2分，发现一次扣1分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ED407E">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02EE59">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D2ADF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177E3AB1">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239A8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8</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4C998D">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0834B5">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5、是否严格落实出入库管理台账和索票索证制度；严格执行食品加工流程；销售食品要符合卫生规范；销售食品成品要实行留样制度，必须严格按照留样相关规定执行</w:t>
            </w:r>
            <w:r>
              <w:rPr>
                <w:rFonts w:hint="eastAsia" w:ascii="宋体" w:hAnsi="宋体" w:eastAsia="宋体" w:cs="宋体"/>
                <w:b w:val="0"/>
                <w:bCs w:val="0"/>
                <w:kern w:val="0"/>
                <w:sz w:val="21"/>
                <w:szCs w:val="21"/>
                <w:highlight w:val="none"/>
                <w:lang w:eastAsia="zh-CN" w:bidi="ar"/>
              </w:rPr>
              <w:t>，食材出入库台账记录完整，票证齐全得</w:t>
            </w:r>
            <w:r>
              <w:rPr>
                <w:rFonts w:hint="eastAsia" w:ascii="宋体" w:hAnsi="宋体" w:eastAsia="宋体" w:cs="宋体"/>
                <w:b w:val="0"/>
                <w:bCs w:val="0"/>
                <w:kern w:val="0"/>
                <w:sz w:val="21"/>
                <w:szCs w:val="21"/>
                <w:highlight w:val="none"/>
                <w:lang w:val="en-US" w:eastAsia="zh-CN" w:bidi="ar"/>
              </w:rPr>
              <w:t>1分；食品加工流程规范，区分使用用品用具及容器得1分；售卖间环境及设施设备卫生清洁，按要求进行空气消毒并有记录得1分；食品留样规范，留样品重量不少于125克，保存48小时以上得1分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8A61C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4</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E84E2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EA2C9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086BF07F">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1F0F52">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9</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543B2B">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A5A077">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6、食堂内食材均在保质期内，原料贮存符合管理要求</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3分，发现食堂内有过期食材扣1分，有原料未离地10cm存放扣1分，有原料未离墙存放扣1分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D7D15E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BF53D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42BB02">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6CE972AC">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4F9FE5">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10</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393E23">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A707B2">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7、食品添加剂使用符合相关标准，达到“五专”管理要求，无超量、超范围使用食品添加剂</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3分，未达到</w:t>
            </w:r>
            <w:r>
              <w:rPr>
                <w:rFonts w:hint="eastAsia" w:ascii="宋体" w:hAnsi="宋体" w:eastAsia="宋体" w:cs="宋体"/>
                <w:b w:val="0"/>
                <w:bCs w:val="0"/>
                <w:kern w:val="0"/>
                <w:sz w:val="21"/>
                <w:szCs w:val="21"/>
                <w:highlight w:val="none"/>
                <w:lang w:bidi="ar"/>
              </w:rPr>
              <w:t>“五专”管理</w:t>
            </w:r>
            <w:r>
              <w:rPr>
                <w:rFonts w:hint="eastAsia" w:ascii="宋体" w:hAnsi="宋体" w:eastAsia="宋体" w:cs="宋体"/>
                <w:b w:val="0"/>
                <w:bCs w:val="0"/>
                <w:kern w:val="0"/>
                <w:sz w:val="21"/>
                <w:szCs w:val="21"/>
                <w:highlight w:val="none"/>
                <w:lang w:eastAsia="zh-CN" w:bidi="ar"/>
              </w:rPr>
              <w:t>扣</w:t>
            </w:r>
            <w:r>
              <w:rPr>
                <w:rFonts w:hint="eastAsia" w:ascii="宋体" w:hAnsi="宋体" w:eastAsia="宋体" w:cs="宋体"/>
                <w:b w:val="0"/>
                <w:bCs w:val="0"/>
                <w:kern w:val="0"/>
                <w:sz w:val="21"/>
                <w:szCs w:val="21"/>
                <w:highlight w:val="none"/>
                <w:lang w:val="en-US" w:eastAsia="zh-CN" w:bidi="ar"/>
              </w:rPr>
              <w:t>1分，超量使用扣1分，超范围使用扣1分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370A04">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2C0202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BA9A8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0079B0AA">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939A3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11</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6CCB75">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460A38">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8、依照规定对食堂从业人员进行食品卫生安全知识培训和相应岗位技能培训(每年不少于40学时)</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4分，培训学时不达40学时不得分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136CD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4</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DD851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6022C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7BD5E60C">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C3BCA7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12</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D8114B">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9D3B09">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9、餐饮具清洗、消毒效果是否符合相关要求</w:t>
            </w:r>
            <w:r>
              <w:rPr>
                <w:rFonts w:hint="eastAsia" w:ascii="宋体" w:hAnsi="宋体" w:eastAsia="宋体" w:cs="宋体"/>
                <w:b w:val="0"/>
                <w:bCs w:val="0"/>
                <w:kern w:val="0"/>
                <w:sz w:val="21"/>
                <w:szCs w:val="21"/>
                <w:highlight w:val="none"/>
                <w:lang w:eastAsia="zh-CN" w:bidi="ar"/>
              </w:rPr>
              <w:t>，有第三方检查报告且检测结果为合格得</w:t>
            </w:r>
            <w:r>
              <w:rPr>
                <w:rFonts w:hint="eastAsia" w:ascii="宋体" w:hAnsi="宋体" w:eastAsia="宋体" w:cs="宋体"/>
                <w:b w:val="0"/>
                <w:bCs w:val="0"/>
                <w:kern w:val="0"/>
                <w:sz w:val="21"/>
                <w:szCs w:val="21"/>
                <w:highlight w:val="none"/>
                <w:lang w:val="en-US" w:eastAsia="zh-CN" w:bidi="ar"/>
              </w:rPr>
              <w:t>2分，食品安全检查未发现餐饮具存在未洗净情况得1分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2A1BA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22193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A68B23">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2E9AED8A">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14BC5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13</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CB0236">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FC870A">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10、食品、食品相关产品、清洁用品、私人物品</w:t>
            </w:r>
            <w:r>
              <w:rPr>
                <w:rFonts w:hint="eastAsia" w:ascii="宋体" w:hAnsi="宋体" w:eastAsia="宋体" w:cs="宋体"/>
                <w:b w:val="0"/>
                <w:bCs w:val="0"/>
                <w:kern w:val="0"/>
                <w:sz w:val="21"/>
                <w:szCs w:val="21"/>
                <w:highlight w:val="none"/>
                <w:lang w:eastAsia="zh-CN" w:bidi="ar"/>
              </w:rPr>
              <w:t>不</w:t>
            </w:r>
            <w:r>
              <w:rPr>
                <w:rFonts w:hint="eastAsia" w:ascii="宋体" w:hAnsi="宋体" w:eastAsia="宋体" w:cs="宋体"/>
                <w:b w:val="0"/>
                <w:bCs w:val="0"/>
                <w:kern w:val="0"/>
                <w:sz w:val="21"/>
                <w:szCs w:val="21"/>
                <w:highlight w:val="none"/>
                <w:lang w:bidi="ar"/>
              </w:rPr>
              <w:t>存在混放情况</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3分，每发现混放1次扣0.5分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F1EAF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CE5D9EE">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9F7B63">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5E1CDF82">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19B4E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14</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6066D0">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3ECEA3">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11、食堂产生的餐厨废弃物是否及时清除，并按规定交由符合要求处理单位处理</w:t>
            </w:r>
            <w:r>
              <w:rPr>
                <w:rFonts w:hint="eastAsia" w:ascii="宋体" w:hAnsi="宋体" w:eastAsia="宋体" w:cs="宋体"/>
                <w:b w:val="0"/>
                <w:bCs w:val="0"/>
                <w:kern w:val="0"/>
                <w:sz w:val="21"/>
                <w:szCs w:val="21"/>
                <w:highlight w:val="none"/>
                <w:lang w:eastAsia="zh-CN" w:bidi="ar"/>
              </w:rPr>
              <w:t>，做到日产日清得</w:t>
            </w:r>
            <w:r>
              <w:rPr>
                <w:rFonts w:hint="eastAsia" w:ascii="宋体" w:hAnsi="宋体" w:eastAsia="宋体" w:cs="宋体"/>
                <w:b w:val="0"/>
                <w:bCs w:val="0"/>
                <w:kern w:val="0"/>
                <w:sz w:val="21"/>
                <w:szCs w:val="21"/>
                <w:highlight w:val="none"/>
                <w:lang w:val="en-US" w:eastAsia="zh-CN" w:bidi="ar"/>
              </w:rPr>
              <w:t>1分，有记录得1分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7E6FA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1F204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22ADC4">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3E3E059B">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1BDD17">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15</w:t>
            </w:r>
          </w:p>
        </w:tc>
        <w:tc>
          <w:tcPr>
            <w:tcW w:w="57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3631B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三、环境卫生</w:t>
            </w: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9A6B04">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1、各操作间卫生清洁</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2分，每发现1次不清洁情况扣0.5分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9D7D1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402DB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EEBE06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4FCC28D0">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2F4B25">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16</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78D308">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B565C6">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2、就餐场所环境及公共区域定期清洁干净并保持</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2分，每发现1次不清洁情况扣0.5分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79B372">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FAADE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AF17E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1CC8BF78">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D9E424">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17</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211195">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ED4FC8">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3、有消除老鼠、蟑螂、苍蝇和其他有害昆虫及孳生条件的防护措施、按要求规范使用“三防”设施</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3分，“三防”设施不完善扣1分，未定期“灭四害”扣1分，无“灭四害”记录或记录不完善扣1分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92EF2A7">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88CB4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29F39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75572541">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AD1F17">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18</w:t>
            </w:r>
          </w:p>
        </w:tc>
        <w:tc>
          <w:tcPr>
            <w:tcW w:w="57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6D6E0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四、民主监督</w:t>
            </w: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F12980">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1、积极配合、自觉主动地接受当地食品药品监督管理部门、卫生行政部门、教育行政部门、甲方和餐饮行业的监督、指导与管理</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3分，拒绝监督检查或检查时态度恶劣推脱不配合扣2分，检查发现的问题未在规定时间完成整改扣1分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E33C8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11553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D8C68B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16C13475">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3C2A8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19</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3FBE2A">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0CF81D">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2、积极配合、自觉主动地接受甲方和餐饮行业的监督、指导与管理</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3分，拒绝监督检查或检查时态度恶劣推脱不配合扣2分，检查发现的问题未在规定时间完成整改扣1分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381999">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9A910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952E1B">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79C8E5DB">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B9222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20</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82A51">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3871F4">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r>
              <w:rPr>
                <w:rFonts w:hint="eastAsia" w:ascii="宋体" w:hAnsi="宋体" w:eastAsia="宋体" w:cs="宋体"/>
                <w:b w:val="0"/>
                <w:bCs w:val="0"/>
                <w:kern w:val="0"/>
                <w:sz w:val="21"/>
                <w:szCs w:val="21"/>
                <w:highlight w:val="none"/>
                <w:lang w:eastAsia="zh-CN" w:bidi="ar"/>
              </w:rPr>
              <w:t>虚心接受</w:t>
            </w:r>
            <w:r>
              <w:rPr>
                <w:rFonts w:hint="eastAsia" w:ascii="宋体" w:hAnsi="宋体" w:eastAsia="宋体" w:cs="宋体"/>
                <w:b w:val="0"/>
                <w:bCs w:val="0"/>
                <w:kern w:val="0"/>
                <w:sz w:val="21"/>
                <w:szCs w:val="21"/>
                <w:highlight w:val="none"/>
                <w:lang w:bidi="ar"/>
              </w:rPr>
              <w:t>师生建议、意见</w:t>
            </w:r>
            <w:r>
              <w:rPr>
                <w:rFonts w:hint="eastAsia" w:ascii="宋体" w:hAnsi="宋体" w:eastAsia="宋体" w:cs="宋体"/>
                <w:b w:val="0"/>
                <w:bCs w:val="0"/>
                <w:kern w:val="0"/>
                <w:sz w:val="21"/>
                <w:szCs w:val="21"/>
                <w:highlight w:val="none"/>
                <w:lang w:eastAsia="zh-CN" w:bidi="ar"/>
              </w:rPr>
              <w:t>，结合实际情况整改落实得</w:t>
            </w:r>
            <w:r>
              <w:rPr>
                <w:rFonts w:hint="eastAsia" w:ascii="宋体" w:hAnsi="宋体" w:eastAsia="宋体" w:cs="宋体"/>
                <w:b w:val="0"/>
                <w:bCs w:val="0"/>
                <w:kern w:val="0"/>
                <w:sz w:val="21"/>
                <w:szCs w:val="21"/>
                <w:highlight w:val="none"/>
                <w:lang w:val="en-US" w:eastAsia="zh-CN" w:bidi="ar"/>
              </w:rPr>
              <w:t>3分，每有一次合理建议整改落实不到位扣1分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161FD4">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FFD45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85378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3AD0A892">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81D465">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21</w:t>
            </w:r>
          </w:p>
        </w:tc>
        <w:tc>
          <w:tcPr>
            <w:tcW w:w="57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BBEBB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五、餐饮服务</w:t>
            </w: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6BCDC1">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1、按时提供早餐(7：00－8：</w:t>
            </w:r>
            <w:r>
              <w:rPr>
                <w:rFonts w:hint="eastAsia" w:ascii="宋体" w:hAnsi="宋体" w:eastAsia="宋体" w:cs="宋体"/>
                <w:b w:val="0"/>
                <w:bCs w:val="0"/>
                <w:kern w:val="0"/>
                <w:sz w:val="21"/>
                <w:szCs w:val="21"/>
                <w:highlight w:val="none"/>
                <w:lang w:val="en-US" w:eastAsia="zh-CN" w:bidi="ar"/>
              </w:rPr>
              <w:t>30</w:t>
            </w:r>
            <w:r>
              <w:rPr>
                <w:rFonts w:hint="eastAsia" w:ascii="宋体" w:hAnsi="宋体" w:eastAsia="宋体" w:cs="宋体"/>
                <w:b w:val="0"/>
                <w:bCs w:val="0"/>
                <w:kern w:val="0"/>
                <w:sz w:val="21"/>
                <w:szCs w:val="21"/>
                <w:highlight w:val="none"/>
                <w:lang w:bidi="ar"/>
              </w:rPr>
              <w:t>)、午餐(11：10－13：00)、晚餐(17：00－19：00)及夜宵(20：00－21：00)的餐饮服务</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3分，每有一次非客观原因未按时售餐扣1分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7411A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E0F69F">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B34D83">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12D93738">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FB74E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22</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3C6041">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5CDA6E">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2、学生窗口应实现菜品多样化，单餐荤菜品种达到15个以上、素菜品种达到12个以上</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3分，非节假日每有一次菜品种类不够扣1分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DC132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2F5F4D">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91EE8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18F8C1C3">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1D7B1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23</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4847F9">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4A3E34">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bidi="ar"/>
              </w:rPr>
              <w:t>3、学生保障套餐按要求供应，价格控制在一荤一素</w:t>
            </w:r>
            <w:r>
              <w:rPr>
                <w:rFonts w:hint="eastAsia" w:ascii="宋体" w:hAnsi="宋体" w:eastAsia="宋体" w:cs="宋体"/>
                <w:b w:val="0"/>
                <w:bCs w:val="0"/>
                <w:kern w:val="0"/>
                <w:sz w:val="21"/>
                <w:szCs w:val="21"/>
                <w:highlight w:val="none"/>
                <w:lang w:val="en-US" w:eastAsia="zh-CN" w:bidi="ar"/>
              </w:rPr>
              <w:t>6</w:t>
            </w:r>
            <w:r>
              <w:rPr>
                <w:rFonts w:hint="eastAsia" w:ascii="宋体" w:hAnsi="宋体" w:eastAsia="宋体" w:cs="宋体"/>
                <w:b w:val="0"/>
                <w:bCs w:val="0"/>
                <w:kern w:val="0"/>
                <w:sz w:val="21"/>
                <w:szCs w:val="21"/>
                <w:highlight w:val="none"/>
                <w:lang w:bidi="ar"/>
              </w:rPr>
              <w:t>元/份(含汤含饭，数量不限)</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3分，未提供不得分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1578F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87D58A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F6F26E">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763CD0CC">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4A445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24</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8D41BB">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A73192">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4、按时、按要求为教职工提供保障型三餐餐饮服务。早餐(7：30－8：40)、午餐(11：10－13：00)、晚餐(17：00－18：30)</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3分，每有一次非客观原因未按时售餐扣1分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1553CC">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C2B539">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E27928">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795459F9">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014295">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25</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0E0B35">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04F294">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5、教职工工作餐按学院规定执行；教职工工作餐应每周制订菜谱，提供特色菜品，做到每天不重样</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6分，制定有周菜谱得2分，提供特色菜品得2分，</w:t>
            </w:r>
            <w:r>
              <w:rPr>
                <w:rFonts w:hint="eastAsia" w:ascii="宋体" w:hAnsi="宋体" w:eastAsia="宋体" w:cs="宋体"/>
                <w:b w:val="0"/>
                <w:bCs w:val="0"/>
                <w:kern w:val="0"/>
                <w:sz w:val="21"/>
                <w:szCs w:val="21"/>
                <w:highlight w:val="none"/>
                <w:lang w:bidi="ar"/>
              </w:rPr>
              <w:t>做到</w:t>
            </w:r>
            <w:r>
              <w:rPr>
                <w:rFonts w:hint="eastAsia" w:ascii="宋体" w:hAnsi="宋体" w:eastAsia="宋体" w:cs="宋体"/>
                <w:b w:val="0"/>
                <w:bCs w:val="0"/>
                <w:kern w:val="0"/>
                <w:sz w:val="21"/>
                <w:szCs w:val="21"/>
                <w:highlight w:val="none"/>
                <w:lang w:eastAsia="zh-CN" w:bidi="ar"/>
              </w:rPr>
              <w:t>一周</w:t>
            </w:r>
            <w:r>
              <w:rPr>
                <w:rFonts w:hint="eastAsia" w:ascii="宋体" w:hAnsi="宋体" w:eastAsia="宋体" w:cs="宋体"/>
                <w:b w:val="0"/>
                <w:bCs w:val="0"/>
                <w:kern w:val="0"/>
                <w:sz w:val="21"/>
                <w:szCs w:val="21"/>
                <w:highlight w:val="none"/>
                <w:lang w:bidi="ar"/>
              </w:rPr>
              <w:t>每天不重样</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2分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98E0E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6</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6482C9">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C5A23A">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3D0DD0F5">
        <w:tblPrEx>
          <w:tblCellMar>
            <w:top w:w="0" w:type="dxa"/>
            <w:left w:w="108" w:type="dxa"/>
            <w:bottom w:w="0" w:type="dxa"/>
            <w:right w:w="108" w:type="dxa"/>
          </w:tblCellMar>
        </w:tblPrEx>
        <w:trPr>
          <w:trHeight w:val="567" w:hRule="atLeast"/>
          <w:jc w:val="center"/>
        </w:trPr>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D04391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26</w:t>
            </w:r>
          </w:p>
        </w:tc>
        <w:tc>
          <w:tcPr>
            <w:tcW w:w="575"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E383AF">
            <w:pPr>
              <w:tabs>
                <w:tab w:val="left" w:pos="0"/>
              </w:tabs>
              <w:adjustRightInd w:val="0"/>
              <w:snapToGrid w:val="0"/>
              <w:spacing w:line="360" w:lineRule="exact"/>
              <w:jc w:val="center"/>
              <w:rPr>
                <w:rFonts w:hint="eastAsia" w:ascii="宋体" w:hAnsi="宋体" w:eastAsia="宋体" w:cs="宋体"/>
                <w:b w:val="0"/>
                <w:bCs w:val="0"/>
                <w:sz w:val="21"/>
                <w:szCs w:val="21"/>
                <w:highlight w:val="none"/>
              </w:rPr>
            </w:pPr>
          </w:p>
        </w:tc>
        <w:tc>
          <w:tcPr>
            <w:tcW w:w="280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FE4E1F">
            <w:pPr>
              <w:tabs>
                <w:tab w:val="left" w:pos="0"/>
              </w:tabs>
              <w:adjustRightInd w:val="0"/>
              <w:snapToGrid w:val="0"/>
              <w:spacing w:line="360" w:lineRule="exac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6、提供各类接待、培训、节假日等提供餐服务</w:t>
            </w:r>
            <w:r>
              <w:rPr>
                <w:rFonts w:hint="eastAsia" w:ascii="宋体" w:hAnsi="宋体" w:eastAsia="宋体" w:cs="宋体"/>
                <w:b w:val="0"/>
                <w:bCs w:val="0"/>
                <w:kern w:val="0"/>
                <w:sz w:val="21"/>
                <w:szCs w:val="21"/>
                <w:highlight w:val="none"/>
                <w:lang w:eastAsia="zh-CN" w:bidi="ar"/>
              </w:rPr>
              <w:t>得</w:t>
            </w:r>
            <w:r>
              <w:rPr>
                <w:rFonts w:hint="eastAsia" w:ascii="宋体" w:hAnsi="宋体" w:eastAsia="宋体" w:cs="宋体"/>
                <w:b w:val="0"/>
                <w:bCs w:val="0"/>
                <w:kern w:val="0"/>
                <w:sz w:val="21"/>
                <w:szCs w:val="21"/>
                <w:highlight w:val="none"/>
                <w:lang w:val="en-US" w:eastAsia="zh-CN" w:bidi="ar"/>
              </w:rPr>
              <w:t>3分，每有一次拒绝</w:t>
            </w:r>
            <w:r>
              <w:rPr>
                <w:rFonts w:hint="eastAsia" w:ascii="宋体" w:hAnsi="宋体" w:eastAsia="宋体" w:cs="宋体"/>
                <w:b w:val="0"/>
                <w:bCs w:val="0"/>
                <w:kern w:val="0"/>
                <w:sz w:val="21"/>
                <w:szCs w:val="21"/>
                <w:highlight w:val="none"/>
                <w:lang w:bidi="ar"/>
              </w:rPr>
              <w:t>接待、培训、节假日</w:t>
            </w:r>
            <w:r>
              <w:rPr>
                <w:rFonts w:hint="eastAsia" w:ascii="宋体" w:hAnsi="宋体" w:eastAsia="宋体" w:cs="宋体"/>
                <w:b w:val="0"/>
                <w:bCs w:val="0"/>
                <w:kern w:val="0"/>
                <w:sz w:val="21"/>
                <w:szCs w:val="21"/>
                <w:highlight w:val="none"/>
                <w:lang w:eastAsia="zh-CN" w:bidi="ar"/>
              </w:rPr>
              <w:t>供餐服务扣</w:t>
            </w:r>
            <w:r>
              <w:rPr>
                <w:rFonts w:hint="eastAsia" w:ascii="宋体" w:hAnsi="宋体" w:eastAsia="宋体" w:cs="宋体"/>
                <w:b w:val="0"/>
                <w:bCs w:val="0"/>
                <w:kern w:val="0"/>
                <w:sz w:val="21"/>
                <w:szCs w:val="21"/>
                <w:highlight w:val="none"/>
                <w:lang w:val="en-US" w:eastAsia="zh-CN" w:bidi="ar"/>
              </w:rPr>
              <w:t>1分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078852">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3</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7CF34B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37C53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r w14:paraId="3FFD9457">
        <w:tblPrEx>
          <w:tblCellMar>
            <w:top w:w="0" w:type="dxa"/>
            <w:left w:w="108" w:type="dxa"/>
            <w:bottom w:w="0" w:type="dxa"/>
            <w:right w:w="108" w:type="dxa"/>
          </w:tblCellMar>
        </w:tblPrEx>
        <w:trPr>
          <w:trHeight w:val="567" w:hRule="atLeast"/>
          <w:jc w:val="center"/>
        </w:trPr>
        <w:tc>
          <w:tcPr>
            <w:tcW w:w="372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F41776">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综合考评得分</w:t>
            </w: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F7FBE1">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100</w:t>
            </w:r>
          </w:p>
        </w:tc>
        <w:tc>
          <w:tcPr>
            <w:tcW w:w="5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75A800">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c>
          <w:tcPr>
            <w:tcW w:w="34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2A7A5B">
            <w:pPr>
              <w:tabs>
                <w:tab w:val="left" w:pos="0"/>
              </w:tabs>
              <w:adjustRightInd w:val="0"/>
              <w:snapToGrid w:val="0"/>
              <w:spacing w:line="360" w:lineRule="exact"/>
              <w:jc w:val="center"/>
              <w:textAlignment w:val="center"/>
              <w:rPr>
                <w:rFonts w:hint="eastAsia" w:ascii="宋体" w:hAnsi="宋体" w:eastAsia="宋体" w:cs="宋体"/>
                <w:b w:val="0"/>
                <w:bCs w:val="0"/>
                <w:sz w:val="21"/>
                <w:szCs w:val="21"/>
                <w:highlight w:val="none"/>
              </w:rPr>
            </w:pPr>
          </w:p>
        </w:tc>
      </w:tr>
    </w:tbl>
    <w:p w14:paraId="1E5AAE4C">
      <w:pPr>
        <w:widowControl/>
        <w:rPr>
          <w:rFonts w:hint="eastAsia" w:ascii="宋体" w:hAnsi="宋体" w:eastAsia="宋体" w:cs="宋体"/>
          <w:b w:val="0"/>
          <w:bCs w:val="0"/>
          <w:spacing w:val="8"/>
          <w:kern w:val="0"/>
          <w:sz w:val="24"/>
          <w:highlight w:val="none"/>
        </w:rPr>
      </w:pPr>
    </w:p>
    <w:p w14:paraId="2BDCA590">
      <w:pPr>
        <w:rPr>
          <w:rFonts w:hint="eastAsia" w:ascii="宋体" w:hAnsi="宋体" w:eastAsia="宋体" w:cs="宋体"/>
          <w:b w:val="0"/>
          <w:bCs w:val="0"/>
          <w:spacing w:val="8"/>
          <w:kern w:val="0"/>
          <w:sz w:val="24"/>
          <w:highlight w:val="none"/>
        </w:rPr>
      </w:pPr>
      <w:r>
        <w:rPr>
          <w:rFonts w:hint="eastAsia" w:ascii="宋体" w:hAnsi="宋体" w:eastAsia="宋体" w:cs="宋体"/>
          <w:b w:val="0"/>
          <w:bCs w:val="0"/>
          <w:spacing w:val="8"/>
          <w:kern w:val="0"/>
          <w:sz w:val="24"/>
          <w:highlight w:val="none"/>
        </w:rPr>
        <w:br w:type="page"/>
      </w:r>
    </w:p>
    <w:p w14:paraId="65D04404">
      <w:pPr>
        <w:keepNext/>
        <w:keepLines/>
        <w:tabs>
          <w:tab w:val="left" w:pos="0"/>
        </w:tabs>
        <w:adjustRightInd w:val="0"/>
        <w:snapToGrid w:val="0"/>
        <w:rPr>
          <w:rFonts w:hint="eastAsia" w:ascii="宋体" w:hAnsi="宋体" w:eastAsia="宋体" w:cs="宋体"/>
          <w:b w:val="0"/>
          <w:bCs w:val="0"/>
          <w:spacing w:val="8"/>
          <w:kern w:val="0"/>
          <w:sz w:val="24"/>
          <w:highlight w:val="none"/>
        </w:rPr>
      </w:pPr>
      <w:r>
        <w:rPr>
          <w:rFonts w:hint="eastAsia" w:ascii="宋体" w:hAnsi="宋体" w:eastAsia="宋体" w:cs="宋体"/>
          <w:b w:val="0"/>
          <w:bCs w:val="0"/>
          <w:spacing w:val="8"/>
          <w:kern w:val="0"/>
          <w:sz w:val="24"/>
          <w:highlight w:val="none"/>
        </w:rPr>
        <w:t>附件</w:t>
      </w:r>
      <w:r>
        <w:rPr>
          <w:rFonts w:hint="eastAsia" w:ascii="宋体" w:hAnsi="宋体" w:eastAsia="宋体" w:cs="宋体"/>
          <w:b w:val="0"/>
          <w:bCs w:val="0"/>
          <w:spacing w:val="8"/>
          <w:kern w:val="0"/>
          <w:sz w:val="24"/>
          <w:highlight w:val="none"/>
          <w:lang w:val="en-US" w:eastAsia="zh-CN"/>
        </w:rPr>
        <w:t>2</w:t>
      </w:r>
      <w:r>
        <w:rPr>
          <w:rFonts w:hint="eastAsia" w:ascii="宋体" w:hAnsi="宋体" w:eastAsia="宋体" w:cs="宋体"/>
          <w:b w:val="0"/>
          <w:bCs w:val="0"/>
          <w:spacing w:val="8"/>
          <w:kern w:val="0"/>
          <w:sz w:val="24"/>
          <w:highlight w:val="none"/>
        </w:rPr>
        <w:t>：</w:t>
      </w:r>
    </w:p>
    <w:p w14:paraId="122986AD">
      <w:pPr>
        <w:tabs>
          <w:tab w:val="left" w:pos="0"/>
        </w:tabs>
        <w:adjustRightInd w:val="0"/>
        <w:snapToGrid w:val="0"/>
        <w:spacing w:line="360" w:lineRule="auto"/>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成都市技师学院食堂满意度调查表</w:t>
      </w:r>
    </w:p>
    <w:p w14:paraId="0090B285">
      <w:pPr>
        <w:tabs>
          <w:tab w:val="left" w:pos="0"/>
        </w:tabs>
        <w:adjustRightInd w:val="0"/>
        <w:snapToGrid w:val="0"/>
        <w:spacing w:line="360" w:lineRule="auto"/>
        <w:ind w:firstLine="480" w:firstLineChars="200"/>
        <w:jc w:val="center"/>
        <w:rPr>
          <w:rFonts w:hint="eastAsia" w:ascii="宋体" w:hAnsi="宋体" w:eastAsia="宋体" w:cs="宋体"/>
          <w:b w:val="0"/>
          <w:bCs w:val="0"/>
          <w:sz w:val="24"/>
          <w:highlight w:val="none"/>
        </w:rPr>
      </w:pPr>
    </w:p>
    <w:p w14:paraId="406EE7C4">
      <w:pPr>
        <w:tabs>
          <w:tab w:val="left" w:pos="0"/>
        </w:tabs>
        <w:adjustRightInd w:val="0"/>
        <w:snapToGrid w:val="0"/>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为了完善学校食堂管理、持续提高食堂服务质量，让师生更加精神饱满地做好生产工作,现此次调查为不记名调查，希望大家从自身实际出发，积极配合、认真、详实地填写。        谢谢配合！ </w:t>
      </w:r>
    </w:p>
    <w:p w14:paraId="1786774E">
      <w:pPr>
        <w:tabs>
          <w:tab w:val="left" w:pos="0"/>
        </w:tabs>
        <w:adjustRightInd w:val="0"/>
        <w:snapToGrid w:val="0"/>
        <w:spacing w:line="48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1、你对食堂饭菜质量是否满意？　 </w:t>
      </w:r>
    </w:p>
    <w:p w14:paraId="56A7FF94">
      <w:pPr>
        <w:tabs>
          <w:tab w:val="left" w:pos="0"/>
        </w:tabs>
        <w:adjustRightInd w:val="0"/>
        <w:snapToGrid w:val="0"/>
        <w:spacing w:line="48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A 非常满意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B 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C</w:t>
      </w:r>
      <w:r>
        <w:rPr>
          <w:rFonts w:hint="eastAsia" w:ascii="宋体" w:hAnsi="宋体" w:eastAsia="宋体" w:cs="宋体"/>
          <w:b w:val="0"/>
          <w:bCs w:val="0"/>
          <w:sz w:val="24"/>
          <w:highlight w:val="none"/>
          <w:lang w:eastAsia="zh-CN"/>
        </w:rPr>
        <w:t>比较满意</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D 不满意 </w:t>
      </w:r>
      <w:r>
        <w:rPr>
          <w:rFonts w:hint="eastAsia" w:ascii="宋体" w:hAnsi="宋体" w:eastAsia="宋体" w:cs="宋体"/>
          <w:b w:val="0"/>
          <w:bCs w:val="0"/>
          <w:sz w:val="24"/>
          <w:highlight w:val="none"/>
          <w:lang w:val="en-US" w:eastAsia="zh-CN"/>
        </w:rPr>
        <w:t xml:space="preserve"> </w:t>
      </w:r>
    </w:p>
    <w:p w14:paraId="38691CCA">
      <w:pPr>
        <w:tabs>
          <w:tab w:val="left" w:pos="0"/>
        </w:tabs>
        <w:adjustRightInd w:val="0"/>
        <w:snapToGrid w:val="0"/>
        <w:spacing w:line="48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2、你对食堂饭菜价格是否满意？　</w:t>
      </w:r>
    </w:p>
    <w:p w14:paraId="1B400130">
      <w:pPr>
        <w:tabs>
          <w:tab w:val="left" w:pos="0"/>
        </w:tabs>
        <w:adjustRightInd w:val="0"/>
        <w:snapToGrid w:val="0"/>
        <w:spacing w:line="48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A 非常满意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B 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C</w:t>
      </w:r>
      <w:r>
        <w:rPr>
          <w:rFonts w:hint="eastAsia" w:ascii="宋体" w:hAnsi="宋体" w:eastAsia="宋体" w:cs="宋体"/>
          <w:b w:val="0"/>
          <w:bCs w:val="0"/>
          <w:sz w:val="24"/>
          <w:highlight w:val="none"/>
          <w:lang w:eastAsia="zh-CN"/>
        </w:rPr>
        <w:t>比较满意</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D 不满意 </w:t>
      </w:r>
      <w:r>
        <w:rPr>
          <w:rFonts w:hint="eastAsia" w:ascii="宋体" w:hAnsi="宋体" w:eastAsia="宋体" w:cs="宋体"/>
          <w:b w:val="0"/>
          <w:bCs w:val="0"/>
          <w:sz w:val="24"/>
          <w:highlight w:val="none"/>
          <w:lang w:val="en-US" w:eastAsia="zh-CN"/>
        </w:rPr>
        <w:t xml:space="preserve"> </w:t>
      </w:r>
    </w:p>
    <w:p w14:paraId="2CECA6D9">
      <w:pPr>
        <w:tabs>
          <w:tab w:val="left" w:pos="0"/>
        </w:tabs>
        <w:adjustRightInd w:val="0"/>
        <w:snapToGrid w:val="0"/>
        <w:spacing w:line="48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3、你对食堂饭菜品种是否满意？</w:t>
      </w:r>
    </w:p>
    <w:p w14:paraId="58AC4917">
      <w:pPr>
        <w:tabs>
          <w:tab w:val="left" w:pos="0"/>
        </w:tabs>
        <w:adjustRightInd w:val="0"/>
        <w:snapToGrid w:val="0"/>
        <w:spacing w:line="48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A 非常满意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B 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C</w:t>
      </w:r>
      <w:r>
        <w:rPr>
          <w:rFonts w:hint="eastAsia" w:ascii="宋体" w:hAnsi="宋体" w:eastAsia="宋体" w:cs="宋体"/>
          <w:b w:val="0"/>
          <w:bCs w:val="0"/>
          <w:sz w:val="24"/>
          <w:highlight w:val="none"/>
          <w:lang w:eastAsia="zh-CN"/>
        </w:rPr>
        <w:t>比较满意</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D 不满意 </w:t>
      </w:r>
      <w:r>
        <w:rPr>
          <w:rFonts w:hint="eastAsia" w:ascii="宋体" w:hAnsi="宋体" w:eastAsia="宋体" w:cs="宋体"/>
          <w:b w:val="0"/>
          <w:bCs w:val="0"/>
          <w:sz w:val="24"/>
          <w:highlight w:val="none"/>
          <w:lang w:val="en-US" w:eastAsia="zh-CN"/>
        </w:rPr>
        <w:t xml:space="preserve"> </w:t>
      </w:r>
    </w:p>
    <w:p w14:paraId="74B777A4">
      <w:pPr>
        <w:tabs>
          <w:tab w:val="left" w:pos="0"/>
        </w:tabs>
        <w:adjustRightInd w:val="0"/>
        <w:snapToGrid w:val="0"/>
        <w:spacing w:line="48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4、你对食堂环境卫生是否满意？</w:t>
      </w:r>
    </w:p>
    <w:p w14:paraId="5251A72D">
      <w:pPr>
        <w:tabs>
          <w:tab w:val="left" w:pos="0"/>
        </w:tabs>
        <w:adjustRightInd w:val="0"/>
        <w:snapToGrid w:val="0"/>
        <w:spacing w:line="48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A 非常满意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B 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C</w:t>
      </w:r>
      <w:r>
        <w:rPr>
          <w:rFonts w:hint="eastAsia" w:ascii="宋体" w:hAnsi="宋体" w:eastAsia="宋体" w:cs="宋体"/>
          <w:b w:val="0"/>
          <w:bCs w:val="0"/>
          <w:sz w:val="24"/>
          <w:highlight w:val="none"/>
          <w:lang w:eastAsia="zh-CN"/>
        </w:rPr>
        <w:t>比较满意</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D 不满意 </w:t>
      </w:r>
      <w:r>
        <w:rPr>
          <w:rFonts w:hint="eastAsia" w:ascii="宋体" w:hAnsi="宋体" w:eastAsia="宋体" w:cs="宋体"/>
          <w:b w:val="0"/>
          <w:bCs w:val="0"/>
          <w:sz w:val="24"/>
          <w:highlight w:val="none"/>
          <w:lang w:val="en-US" w:eastAsia="zh-CN"/>
        </w:rPr>
        <w:t xml:space="preserve"> </w:t>
      </w:r>
    </w:p>
    <w:p w14:paraId="18E860C7">
      <w:pPr>
        <w:tabs>
          <w:tab w:val="left" w:pos="0"/>
        </w:tabs>
        <w:adjustRightInd w:val="0"/>
        <w:snapToGrid w:val="0"/>
        <w:spacing w:line="48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5、你对食堂餐具的卫生消毒情况是否满意？</w:t>
      </w:r>
    </w:p>
    <w:p w14:paraId="445E09B2">
      <w:pPr>
        <w:tabs>
          <w:tab w:val="left" w:pos="0"/>
        </w:tabs>
        <w:adjustRightInd w:val="0"/>
        <w:snapToGrid w:val="0"/>
        <w:spacing w:line="48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A 非常满意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B 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C</w:t>
      </w:r>
      <w:r>
        <w:rPr>
          <w:rFonts w:hint="eastAsia" w:ascii="宋体" w:hAnsi="宋体" w:eastAsia="宋体" w:cs="宋体"/>
          <w:b w:val="0"/>
          <w:bCs w:val="0"/>
          <w:sz w:val="24"/>
          <w:highlight w:val="none"/>
          <w:lang w:eastAsia="zh-CN"/>
        </w:rPr>
        <w:t>比较满意</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D 不满意 </w:t>
      </w:r>
      <w:r>
        <w:rPr>
          <w:rFonts w:hint="eastAsia" w:ascii="宋体" w:hAnsi="宋体" w:eastAsia="宋体" w:cs="宋体"/>
          <w:b w:val="0"/>
          <w:bCs w:val="0"/>
          <w:sz w:val="24"/>
          <w:highlight w:val="none"/>
          <w:lang w:val="en-US" w:eastAsia="zh-CN"/>
        </w:rPr>
        <w:t xml:space="preserve"> </w:t>
      </w:r>
    </w:p>
    <w:p w14:paraId="3ADECC24">
      <w:pPr>
        <w:tabs>
          <w:tab w:val="left" w:pos="0"/>
        </w:tabs>
        <w:adjustRightInd w:val="0"/>
        <w:snapToGrid w:val="0"/>
        <w:spacing w:line="48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6、你对食堂的工作人员服务态度是否满意?</w:t>
      </w:r>
    </w:p>
    <w:p w14:paraId="5A1F1DBC">
      <w:pPr>
        <w:tabs>
          <w:tab w:val="left" w:pos="0"/>
        </w:tabs>
        <w:adjustRightInd w:val="0"/>
        <w:snapToGrid w:val="0"/>
        <w:spacing w:line="48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A 非常满意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B 满意</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C</w:t>
      </w:r>
      <w:r>
        <w:rPr>
          <w:rFonts w:hint="eastAsia" w:ascii="宋体" w:hAnsi="宋体" w:eastAsia="宋体" w:cs="宋体"/>
          <w:b w:val="0"/>
          <w:bCs w:val="0"/>
          <w:sz w:val="24"/>
          <w:highlight w:val="none"/>
          <w:lang w:eastAsia="zh-CN"/>
        </w:rPr>
        <w:t>比较满意</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D 不满意 </w:t>
      </w:r>
      <w:r>
        <w:rPr>
          <w:rFonts w:hint="eastAsia" w:ascii="宋体" w:hAnsi="宋体" w:eastAsia="宋体" w:cs="宋体"/>
          <w:b w:val="0"/>
          <w:bCs w:val="0"/>
          <w:sz w:val="24"/>
          <w:highlight w:val="none"/>
          <w:lang w:val="en-US" w:eastAsia="zh-CN"/>
        </w:rPr>
        <w:t xml:space="preserve"> </w:t>
      </w:r>
    </w:p>
    <w:p w14:paraId="6C5820D8">
      <w:pPr>
        <w:pStyle w:val="37"/>
        <w:pageBreakBefore w:val="0"/>
        <w:widowControl w:val="0"/>
        <w:tabs>
          <w:tab w:val="left" w:pos="0"/>
        </w:tabs>
        <w:kinsoku/>
        <w:overflowPunct/>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sz w:val="24"/>
          <w:highlight w:val="none"/>
        </w:rPr>
        <w:t>7、你对食堂有什么好的建议？</w:t>
      </w:r>
    </w:p>
    <w:sectPr>
      <w:headerReference r:id="rId45" w:type="default"/>
      <w:footerReference r:id="rId46" w:type="default"/>
      <w:type w:val="continuous"/>
      <w:pgSz w:w="11905" w:h="16838"/>
      <w:pgMar w:top="1417" w:right="1417" w:bottom="1417" w:left="1417" w:header="0" w:footer="113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à.ā">
    <w:altName w:val="宋体"/>
    <w:panose1 w:val="00000000000000000000"/>
    <w:charset w:val="86"/>
    <w:family w:val="modern"/>
    <w:pitch w:val="default"/>
    <w:sig w:usb0="00000000" w:usb1="00000000" w:usb2="00000010" w:usb3="00000000" w:csb0="00040000" w:csb1="00000000"/>
  </w:font>
  <w:font w:name="Dutch801 Rm BT">
    <w:panose1 w:val="020206030605050203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1864">
    <w:pPr>
      <w:pStyle w:val="10"/>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DE786">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A8DE786">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B465">
    <w:pPr>
      <w:spacing w:line="196" w:lineRule="auto"/>
      <w:ind w:left="40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FD35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D9FD35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8F6B">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440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7440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4B77">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3F19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33F19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A35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4014A">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504014A">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E71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8FC7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F28FC7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743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AC0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D3BAC0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E265">
    <w:pPr>
      <w:spacing w:line="196" w:lineRule="auto"/>
      <w:ind w:left="41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1821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A61821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4323">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0DD3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580DD3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37A9">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8A4C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1A8A4C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3FA3">
    <w:pPr>
      <w:spacing w:line="196" w:lineRule="auto"/>
      <w:ind w:left="41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8940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578940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082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C0344">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1EC0344">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D6BF">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CB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B44CB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2447">
    <w:pPr>
      <w:spacing w:line="193"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BE011">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06BE011">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CABE">
    <w:pPr>
      <w:spacing w:line="196"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96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0AF796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66C4">
    <w:pPr>
      <w:spacing w:line="196" w:lineRule="auto"/>
      <w:ind w:left="39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B0294">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0C4B0294">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FCE8">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76048">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476048">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06C6">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3F559">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C63F559">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706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posOffset>2813050</wp:posOffset>
              </wp:positionH>
              <wp:positionV relativeFrom="paragraph">
                <wp:posOffset>0</wp:posOffset>
              </wp:positionV>
              <wp:extent cx="133350" cy="132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3350" cy="132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A914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1.5pt;margin-top:0pt;height:10.4pt;width:10.5pt;mso-position-horizontal-relative:margin;z-index:251663360;mso-width-relative:page;mso-height-relative:page;" filled="f" stroked="f" coordsize="21600,21600" o:gfxdata="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0WiDtcAAAAHAQAADwAAAAAAAAABACAAAAAiAAAAZHJzL2Rvd25yZXYueG1sUEsB&#10;AhQAFAAAAAgAh07iQIENCbcvAgAAVQQAAA4AAAAAAAAAAQAgAAAAJgEAAGRycy9lMm9Eb2MueG1s&#10;UEsFBgAAAAAGAAYAWQEAAMcFAAAAAA==&#10;">
              <v:fill on="f" focussize="0,0"/>
              <v:stroke on="f" weight="0.5pt"/>
              <v:imagedata o:title=""/>
              <o:lock v:ext="edit" aspectratio="f"/>
              <v:textbox inset="0mm,0mm,0mm,0mm">
                <w:txbxContent>
                  <w:p w14:paraId="22DA914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117D">
    <w:pPr>
      <w:spacing w:before="3" w:line="360" w:lineRule="exact"/>
      <w:ind w:right="13"/>
      <w:jc w:val="both"/>
      <w:outlineLvl w:val="1"/>
      <w:rPr>
        <w:rFonts w:ascii="宋体" w:hAnsi="宋体" w:eastAsia="宋体" w:cs="宋体"/>
        <w:b/>
        <w:bCs/>
        <w:spacing w:val="18"/>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62B2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DC62B2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FC82">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191D3">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4B191D3">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A85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04C5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5A04C5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7DE5">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62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A4F62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6A5F">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E61F">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FFEB">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4A40">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4400">
    <w:pPr>
      <w:spacing w:line="42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63BD">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50A6">
    <w:pPr>
      <w:spacing w:line="42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384EC">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2D29">
    <w:pPr>
      <w:pStyle w:val="1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D3B8">
    <w:pPr>
      <w:pStyle w:val="1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8F76">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7B2E">
    <w:pPr>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2C7B">
    <w:pPr>
      <w:pStyle w:val="1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B63C">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0554">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5F89">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A9CE">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6C30">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0E1E">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49F4">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A4E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F9BE"/>
    <w:multiLevelType w:val="singleLevel"/>
    <w:tmpl w:val="9CC4F9BE"/>
    <w:lvl w:ilvl="0" w:tentative="0">
      <w:start w:val="2"/>
      <w:numFmt w:val="chineseCounting"/>
      <w:suff w:val="nothing"/>
      <w:lvlText w:val="（%1）"/>
      <w:lvlJc w:val="left"/>
      <w:rPr>
        <w:rFonts w:hint="eastAsia"/>
      </w:rPr>
    </w:lvl>
  </w:abstractNum>
  <w:abstractNum w:abstractNumId="1">
    <w:nsid w:val="DC183CF8"/>
    <w:multiLevelType w:val="singleLevel"/>
    <w:tmpl w:val="DC183CF8"/>
    <w:lvl w:ilvl="0" w:tentative="0">
      <w:start w:val="2"/>
      <w:numFmt w:val="decimal"/>
      <w:suff w:val="nothing"/>
      <w:lvlText w:val="%1、"/>
      <w:lvlJc w:val="left"/>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3"/>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D86D627"/>
    <w:multiLevelType w:val="singleLevel"/>
    <w:tmpl w:val="0D86D627"/>
    <w:lvl w:ilvl="0" w:tentative="0">
      <w:start w:val="1"/>
      <w:numFmt w:val="decimal"/>
      <w:lvlText w:val="%1."/>
      <w:lvlJc w:val="left"/>
      <w:pPr>
        <w:tabs>
          <w:tab w:val="left" w:pos="312"/>
        </w:tabs>
      </w:pPr>
    </w:lvl>
  </w:abstractNum>
  <w:abstractNum w:abstractNumId="4">
    <w:nsid w:val="3638A934"/>
    <w:multiLevelType w:val="singleLevel"/>
    <w:tmpl w:val="3638A934"/>
    <w:lvl w:ilvl="0" w:tentative="0">
      <w:start w:val="1"/>
      <w:numFmt w:val="decimal"/>
      <w:suff w:val="space"/>
      <w:lvlText w:val="(%1)"/>
      <w:lvlJc w:val="left"/>
    </w:lvl>
  </w:abstractNum>
  <w:abstractNum w:abstractNumId="5">
    <w:nsid w:val="7D271BFC"/>
    <w:multiLevelType w:val="multilevel"/>
    <w:tmpl w:val="7D271BFC"/>
    <w:lvl w:ilvl="0" w:tentative="0">
      <w:start w:val="1"/>
      <w:numFmt w:val="decimal"/>
      <w:pStyle w:val="3"/>
      <w:lvlText w:val="%1"/>
      <w:lvlJc w:val="left"/>
      <w:pPr>
        <w:ind w:left="0" w:firstLine="0"/>
      </w:pPr>
      <w:rPr>
        <w:rFonts w:hint="eastAsia" w:eastAsia="宋体" w:asciiTheme="majorEastAsia" w:hAnsiTheme="majorEastAsia"/>
      </w:rPr>
    </w:lvl>
    <w:lvl w:ilvl="1" w:tentative="0">
      <w:start w:val="1"/>
      <w:numFmt w:val="decimal"/>
      <w:lvlText w:val="%1.%2"/>
      <w:lvlJc w:val="left"/>
      <w:pPr>
        <w:ind w:left="-200" w:firstLine="0"/>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eastAsia="宋体" w:asciiTheme="minorEastAsia" w:hAnsiTheme="minorEastAsia"/>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AyZDZlYTJhNTY2MGQwNWM4MWU1ZjMwYmUzNGFlYTgifQ=="/>
    <w:docVar w:name="KSO_WPS_MARK_KEY" w:val="222be758-bda7-44a6-b246-fdfb4510293e"/>
  </w:docVars>
  <w:rsids>
    <w:rsidRoot w:val="008719C1"/>
    <w:rsid w:val="00051814"/>
    <w:rsid w:val="000702A9"/>
    <w:rsid w:val="0007321C"/>
    <w:rsid w:val="00094D1B"/>
    <w:rsid w:val="000C3C4A"/>
    <w:rsid w:val="000E6E8C"/>
    <w:rsid w:val="0011241E"/>
    <w:rsid w:val="00150F44"/>
    <w:rsid w:val="001750BB"/>
    <w:rsid w:val="00242D84"/>
    <w:rsid w:val="00245B36"/>
    <w:rsid w:val="002567D6"/>
    <w:rsid w:val="00291492"/>
    <w:rsid w:val="002B467F"/>
    <w:rsid w:val="002C2650"/>
    <w:rsid w:val="00357C70"/>
    <w:rsid w:val="00375062"/>
    <w:rsid w:val="003F74DC"/>
    <w:rsid w:val="0046212F"/>
    <w:rsid w:val="004B7BAF"/>
    <w:rsid w:val="004E55D6"/>
    <w:rsid w:val="0050144E"/>
    <w:rsid w:val="00535710"/>
    <w:rsid w:val="005462E4"/>
    <w:rsid w:val="005B1EF9"/>
    <w:rsid w:val="00626690"/>
    <w:rsid w:val="006911F9"/>
    <w:rsid w:val="00695339"/>
    <w:rsid w:val="006C654F"/>
    <w:rsid w:val="006E2142"/>
    <w:rsid w:val="00727339"/>
    <w:rsid w:val="00741DEE"/>
    <w:rsid w:val="00754D26"/>
    <w:rsid w:val="007B34D4"/>
    <w:rsid w:val="007C5564"/>
    <w:rsid w:val="007D76F8"/>
    <w:rsid w:val="00834573"/>
    <w:rsid w:val="00844D1D"/>
    <w:rsid w:val="0087053C"/>
    <w:rsid w:val="008719C1"/>
    <w:rsid w:val="008A7277"/>
    <w:rsid w:val="008B0626"/>
    <w:rsid w:val="008D10AC"/>
    <w:rsid w:val="008D7556"/>
    <w:rsid w:val="0096105F"/>
    <w:rsid w:val="009B6095"/>
    <w:rsid w:val="00A15361"/>
    <w:rsid w:val="00A320BB"/>
    <w:rsid w:val="00AF71EC"/>
    <w:rsid w:val="00B750B4"/>
    <w:rsid w:val="00BB6CBE"/>
    <w:rsid w:val="00BC137B"/>
    <w:rsid w:val="00C72ADA"/>
    <w:rsid w:val="00C87311"/>
    <w:rsid w:val="00CB65C8"/>
    <w:rsid w:val="00CC36C9"/>
    <w:rsid w:val="00D213AB"/>
    <w:rsid w:val="00DB2C11"/>
    <w:rsid w:val="00DB4762"/>
    <w:rsid w:val="00E43269"/>
    <w:rsid w:val="00E44010"/>
    <w:rsid w:val="00E74D86"/>
    <w:rsid w:val="014C6B4A"/>
    <w:rsid w:val="01FA47FF"/>
    <w:rsid w:val="023575E5"/>
    <w:rsid w:val="02384D4F"/>
    <w:rsid w:val="02A8425B"/>
    <w:rsid w:val="04E07DC6"/>
    <w:rsid w:val="0503653F"/>
    <w:rsid w:val="05EE6432"/>
    <w:rsid w:val="07524795"/>
    <w:rsid w:val="077B600B"/>
    <w:rsid w:val="089D5EE4"/>
    <w:rsid w:val="093D7C65"/>
    <w:rsid w:val="0A0D7C0C"/>
    <w:rsid w:val="0A252635"/>
    <w:rsid w:val="0A451CC8"/>
    <w:rsid w:val="0A4A6956"/>
    <w:rsid w:val="0CBF0142"/>
    <w:rsid w:val="0CE20369"/>
    <w:rsid w:val="0D156991"/>
    <w:rsid w:val="0DEF271B"/>
    <w:rsid w:val="0DF62107"/>
    <w:rsid w:val="0E010CC3"/>
    <w:rsid w:val="0FC46580"/>
    <w:rsid w:val="10E41578"/>
    <w:rsid w:val="114759AD"/>
    <w:rsid w:val="122D2087"/>
    <w:rsid w:val="12971BF6"/>
    <w:rsid w:val="12A32349"/>
    <w:rsid w:val="12C61DE6"/>
    <w:rsid w:val="14D7022E"/>
    <w:rsid w:val="15523CE6"/>
    <w:rsid w:val="1574174F"/>
    <w:rsid w:val="1708410F"/>
    <w:rsid w:val="19CA0387"/>
    <w:rsid w:val="1C8C6544"/>
    <w:rsid w:val="1CCB3939"/>
    <w:rsid w:val="1D4E6BA1"/>
    <w:rsid w:val="1EEE7042"/>
    <w:rsid w:val="20501FE2"/>
    <w:rsid w:val="20713A86"/>
    <w:rsid w:val="20D56041"/>
    <w:rsid w:val="22634B37"/>
    <w:rsid w:val="230C7A96"/>
    <w:rsid w:val="23887A65"/>
    <w:rsid w:val="23EA41CD"/>
    <w:rsid w:val="24A95977"/>
    <w:rsid w:val="251867F4"/>
    <w:rsid w:val="255C11BE"/>
    <w:rsid w:val="25A21EB7"/>
    <w:rsid w:val="25D90BC5"/>
    <w:rsid w:val="268B6BF5"/>
    <w:rsid w:val="27271343"/>
    <w:rsid w:val="28123DA1"/>
    <w:rsid w:val="2824061B"/>
    <w:rsid w:val="283A7430"/>
    <w:rsid w:val="293D0904"/>
    <w:rsid w:val="294F692F"/>
    <w:rsid w:val="2A5F5AD7"/>
    <w:rsid w:val="2C185918"/>
    <w:rsid w:val="2D9214E0"/>
    <w:rsid w:val="2DC21E30"/>
    <w:rsid w:val="2ECA68A6"/>
    <w:rsid w:val="2EEF03BC"/>
    <w:rsid w:val="2F6876D3"/>
    <w:rsid w:val="2F7075FF"/>
    <w:rsid w:val="2F762ECD"/>
    <w:rsid w:val="300D5F53"/>
    <w:rsid w:val="30D3190E"/>
    <w:rsid w:val="312A7602"/>
    <w:rsid w:val="31E746EC"/>
    <w:rsid w:val="32E225C2"/>
    <w:rsid w:val="342B45C9"/>
    <w:rsid w:val="35566808"/>
    <w:rsid w:val="359B252E"/>
    <w:rsid w:val="35EE218D"/>
    <w:rsid w:val="36070CBD"/>
    <w:rsid w:val="360D204B"/>
    <w:rsid w:val="37904CE2"/>
    <w:rsid w:val="39BA7DF4"/>
    <w:rsid w:val="39C62C3D"/>
    <w:rsid w:val="3A974937"/>
    <w:rsid w:val="3AA552E8"/>
    <w:rsid w:val="3AC709D8"/>
    <w:rsid w:val="3AF03D3D"/>
    <w:rsid w:val="3BEB5355"/>
    <w:rsid w:val="3C063F44"/>
    <w:rsid w:val="3C17295E"/>
    <w:rsid w:val="3C426303"/>
    <w:rsid w:val="3CAD2B7D"/>
    <w:rsid w:val="3CF32BCF"/>
    <w:rsid w:val="3CF94223"/>
    <w:rsid w:val="3D0E7FF3"/>
    <w:rsid w:val="3D435C48"/>
    <w:rsid w:val="3E06217E"/>
    <w:rsid w:val="3FA7505A"/>
    <w:rsid w:val="4105229D"/>
    <w:rsid w:val="416C40CA"/>
    <w:rsid w:val="41F00B11"/>
    <w:rsid w:val="41F62B9C"/>
    <w:rsid w:val="42641ED5"/>
    <w:rsid w:val="42652173"/>
    <w:rsid w:val="426D556C"/>
    <w:rsid w:val="43BF6572"/>
    <w:rsid w:val="445552E9"/>
    <w:rsid w:val="45E70F36"/>
    <w:rsid w:val="45E80733"/>
    <w:rsid w:val="4698770F"/>
    <w:rsid w:val="47046B53"/>
    <w:rsid w:val="47727F60"/>
    <w:rsid w:val="492C786D"/>
    <w:rsid w:val="49520049"/>
    <w:rsid w:val="49690EEF"/>
    <w:rsid w:val="498A77E3"/>
    <w:rsid w:val="4A101B76"/>
    <w:rsid w:val="4B0D4E47"/>
    <w:rsid w:val="4C2D4456"/>
    <w:rsid w:val="4C8F5111"/>
    <w:rsid w:val="4C9E060E"/>
    <w:rsid w:val="4CB6269D"/>
    <w:rsid w:val="4D0F2D07"/>
    <w:rsid w:val="4F3568FD"/>
    <w:rsid w:val="507D1E8B"/>
    <w:rsid w:val="50AF14D1"/>
    <w:rsid w:val="51703467"/>
    <w:rsid w:val="51D40A01"/>
    <w:rsid w:val="521A722A"/>
    <w:rsid w:val="52557CF2"/>
    <w:rsid w:val="52722424"/>
    <w:rsid w:val="52C66A8C"/>
    <w:rsid w:val="52DC0710"/>
    <w:rsid w:val="53642E53"/>
    <w:rsid w:val="543A0058"/>
    <w:rsid w:val="54566453"/>
    <w:rsid w:val="54F95D51"/>
    <w:rsid w:val="553B5659"/>
    <w:rsid w:val="5548377E"/>
    <w:rsid w:val="5579695E"/>
    <w:rsid w:val="56220DA3"/>
    <w:rsid w:val="56F50266"/>
    <w:rsid w:val="571526B6"/>
    <w:rsid w:val="57ED183D"/>
    <w:rsid w:val="57F55EB3"/>
    <w:rsid w:val="588D419D"/>
    <w:rsid w:val="592D022A"/>
    <w:rsid w:val="59B16258"/>
    <w:rsid w:val="59B71EC6"/>
    <w:rsid w:val="5A0768A2"/>
    <w:rsid w:val="5A4C23DB"/>
    <w:rsid w:val="5BD00334"/>
    <w:rsid w:val="5CF709BF"/>
    <w:rsid w:val="5DB03C82"/>
    <w:rsid w:val="5EBA2BA1"/>
    <w:rsid w:val="60120C7F"/>
    <w:rsid w:val="603639F9"/>
    <w:rsid w:val="6042008A"/>
    <w:rsid w:val="61004E34"/>
    <w:rsid w:val="614C3178"/>
    <w:rsid w:val="63357754"/>
    <w:rsid w:val="639D7B4D"/>
    <w:rsid w:val="649E018F"/>
    <w:rsid w:val="64CD4F19"/>
    <w:rsid w:val="64D977A3"/>
    <w:rsid w:val="659A5728"/>
    <w:rsid w:val="65AF4410"/>
    <w:rsid w:val="66903B07"/>
    <w:rsid w:val="669C2357"/>
    <w:rsid w:val="66CD4D5B"/>
    <w:rsid w:val="66D02EB2"/>
    <w:rsid w:val="66E4700F"/>
    <w:rsid w:val="672F7159"/>
    <w:rsid w:val="67DC3307"/>
    <w:rsid w:val="689A52B4"/>
    <w:rsid w:val="6A720EF8"/>
    <w:rsid w:val="6AEB3A02"/>
    <w:rsid w:val="6C957532"/>
    <w:rsid w:val="6D543AE1"/>
    <w:rsid w:val="6FC300B2"/>
    <w:rsid w:val="6FD35191"/>
    <w:rsid w:val="70883DE4"/>
    <w:rsid w:val="71F92EA9"/>
    <w:rsid w:val="720D17BF"/>
    <w:rsid w:val="72F97729"/>
    <w:rsid w:val="73004FF0"/>
    <w:rsid w:val="7374045E"/>
    <w:rsid w:val="74F778A6"/>
    <w:rsid w:val="75294EF6"/>
    <w:rsid w:val="755C79D6"/>
    <w:rsid w:val="75B73ED4"/>
    <w:rsid w:val="772070F2"/>
    <w:rsid w:val="77F9207D"/>
    <w:rsid w:val="78A376CA"/>
    <w:rsid w:val="79423801"/>
    <w:rsid w:val="7A044199"/>
    <w:rsid w:val="7B6C2EA0"/>
    <w:rsid w:val="7B7B072C"/>
    <w:rsid w:val="7B7C6C4B"/>
    <w:rsid w:val="7B8C2698"/>
    <w:rsid w:val="7CD3000F"/>
    <w:rsid w:val="7DC469EB"/>
    <w:rsid w:val="7DED391C"/>
    <w:rsid w:val="7EED24D1"/>
    <w:rsid w:val="7F535449"/>
    <w:rsid w:val="AC7C9331"/>
    <w:rsid w:val="AFB534B6"/>
    <w:rsid w:val="B1DEB752"/>
    <w:rsid w:val="EFFE2178"/>
    <w:rsid w:val="F5BF9143"/>
    <w:rsid w:val="FF6CD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paragraph" w:styleId="5">
    <w:name w:val="heading 3"/>
    <w:basedOn w:val="1"/>
    <w:next w:val="1"/>
    <w:qFormat/>
    <w:uiPriority w:val="9"/>
    <w:pPr>
      <w:outlineLvl w:val="2"/>
    </w:pPr>
    <w:rPr>
      <w:sz w:val="30"/>
    </w:rPr>
  </w:style>
  <w:style w:type="paragraph" w:styleId="6">
    <w:name w:val="heading 4"/>
    <w:basedOn w:val="1"/>
    <w:next w:val="1"/>
    <w:qFormat/>
    <w:uiPriority w:val="99"/>
    <w:pPr>
      <w:keepNext/>
      <w:keepLines/>
      <w:spacing w:before="280" w:after="290" w:line="372" w:lineRule="auto"/>
      <w:outlineLvl w:val="3"/>
    </w:pPr>
    <w:rPr>
      <w:rFonts w:eastAsia="黑体" w:cs="Times New Roman"/>
      <w:b/>
      <w:bCs/>
      <w:sz w:val="28"/>
      <w:szCs w:val="28"/>
    </w:rPr>
  </w:style>
  <w:style w:type="paragraph" w:styleId="7">
    <w:name w:val="heading 9"/>
    <w:basedOn w:val="1"/>
    <w:next w:val="1"/>
    <w:semiHidden/>
    <w:unhideWhenUsed/>
    <w:qFormat/>
    <w:uiPriority w:val="0"/>
    <w:pPr>
      <w:keepNext/>
      <w:keepLines/>
      <w:spacing w:before="240" w:after="64" w:line="317" w:lineRule="auto"/>
      <w:outlineLvl w:val="8"/>
    </w:pPr>
    <w:rPr>
      <w:rFonts w:eastAsia="黑体"/>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sz w:val="20"/>
      <w:szCs w:val="20"/>
    </w:rPr>
  </w:style>
  <w:style w:type="paragraph" w:styleId="8">
    <w:name w:val="annotation text"/>
    <w:basedOn w:val="1"/>
    <w:link w:val="39"/>
    <w:qFormat/>
    <w:uiPriority w:val="0"/>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100" w:beforeAutospacing="1" w:after="100" w:afterAutospacing="1"/>
      <w:jc w:val="left"/>
    </w:pPr>
    <w:rPr>
      <w:rFonts w:ascii="Calibri" w:hAnsi="Calibri"/>
      <w:kern w:val="0"/>
      <w:szCs w:val="32"/>
    </w:r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7">
    <w:name w:val="annotation subject"/>
    <w:basedOn w:val="8"/>
    <w:next w:val="8"/>
    <w:link w:val="40"/>
    <w:qFormat/>
    <w:uiPriority w:val="0"/>
    <w:rPr>
      <w:b/>
      <w:bCs/>
    </w:r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20">
    <w:name w:val="Table Professional"/>
    <w:unhideWhenUsed/>
    <w:qFormat/>
    <w:uiPriority w:val="99"/>
    <w:pPr>
      <w:widowControl w:val="0"/>
      <w:jc w:val="both"/>
    </w:pPr>
    <w:rPr>
      <w:rFonts w:ascii="等线" w:hAnsi="等线" w:eastAsia="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22">
    <w:name w:val="annotation reference"/>
    <w:basedOn w:val="21"/>
    <w:qFormat/>
    <w:uiPriority w:val="0"/>
    <w:rPr>
      <w:sz w:val="21"/>
      <w:szCs w:val="21"/>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table" w:customStyle="1" w:styleId="30">
    <w:name w:val="Table1"/>
    <w:qFormat/>
    <w:uiPriority w:val="0"/>
    <w:rPr>
      <w:rFonts w:cs="Arial"/>
    </w:rPr>
    <w:tblPr>
      <w:tblCellMar>
        <w:top w:w="0" w:type="dxa"/>
        <w:left w:w="0" w:type="dxa"/>
        <w:bottom w:w="0" w:type="dxa"/>
        <w:right w:w="0"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1">
    <w:name w:val="网格型2"/>
    <w:qFormat/>
    <w:uiPriority w:val="39"/>
    <w:rPr>
      <w:rFonts w:ascii="Dutch801 Rm BT" w:hAnsi="Dutch801 Rm BT" w:cs="Dutch801 Rm B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2">
    <w:name w:val="网格型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3">
    <w:name w:val="font51"/>
    <w:basedOn w:val="21"/>
    <w:qFormat/>
    <w:uiPriority w:val="0"/>
    <w:rPr>
      <w:rFonts w:hint="eastAsia" w:ascii="仿宋" w:hAnsi="仿宋" w:eastAsia="仿宋" w:cs="仿宋"/>
      <w:color w:val="000000"/>
      <w:sz w:val="20"/>
      <w:szCs w:val="20"/>
      <w:u w:val="none"/>
    </w:rPr>
  </w:style>
  <w:style w:type="character" w:customStyle="1" w:styleId="34">
    <w:name w:val="font01"/>
    <w:basedOn w:val="21"/>
    <w:qFormat/>
    <w:uiPriority w:val="0"/>
    <w:rPr>
      <w:rFonts w:hint="eastAsia" w:ascii="宋体" w:hAnsi="宋体" w:eastAsia="宋体" w:cs="宋体"/>
      <w:color w:val="000000"/>
      <w:sz w:val="20"/>
      <w:szCs w:val="20"/>
      <w:u w:val="none"/>
    </w:rPr>
  </w:style>
  <w:style w:type="character" w:customStyle="1" w:styleId="35">
    <w:name w:val="font71"/>
    <w:basedOn w:val="21"/>
    <w:qFormat/>
    <w:uiPriority w:val="0"/>
    <w:rPr>
      <w:rFonts w:ascii="Calibri" w:hAnsi="Calibri" w:cs="Calibri"/>
      <w:color w:val="000000"/>
      <w:sz w:val="20"/>
      <w:szCs w:val="20"/>
      <w:u w:val="none"/>
    </w:rPr>
  </w:style>
  <w:style w:type="character" w:customStyle="1" w:styleId="36">
    <w:name w:val="font81"/>
    <w:basedOn w:val="21"/>
    <w:qFormat/>
    <w:uiPriority w:val="0"/>
    <w:rPr>
      <w:rFonts w:ascii="Arial" w:hAnsi="Arial" w:cs="Arial"/>
      <w:color w:val="000000"/>
      <w:sz w:val="20"/>
      <w:szCs w:val="20"/>
      <w:u w:val="none"/>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9">
    <w:name w:val="批注文字 字符"/>
    <w:basedOn w:val="21"/>
    <w:link w:val="8"/>
    <w:qFormat/>
    <w:uiPriority w:val="0"/>
    <w:rPr>
      <w:rFonts w:ascii="Arial" w:hAnsi="Arial" w:eastAsia="Arial" w:cs="Arial"/>
      <w:snapToGrid w:val="0"/>
      <w:color w:val="000000"/>
      <w:sz w:val="21"/>
      <w:szCs w:val="21"/>
    </w:rPr>
  </w:style>
  <w:style w:type="character" w:customStyle="1" w:styleId="40">
    <w:name w:val="批注主题 字符"/>
    <w:basedOn w:val="39"/>
    <w:link w:val="17"/>
    <w:qFormat/>
    <w:uiPriority w:val="0"/>
    <w:rPr>
      <w:rFonts w:ascii="Arial" w:hAnsi="Arial" w:eastAsia="Arial" w:cs="Arial"/>
      <w:b/>
      <w:bCs/>
      <w:snapToGrid w:val="0"/>
      <w:color w:val="000000"/>
      <w:sz w:val="21"/>
      <w:szCs w:val="21"/>
    </w:rPr>
  </w:style>
  <w:style w:type="character" w:customStyle="1" w:styleId="41">
    <w:name w:val="font41"/>
    <w:basedOn w:val="21"/>
    <w:qFormat/>
    <w:uiPriority w:val="0"/>
    <w:rPr>
      <w:rFonts w:hint="eastAsia" w:ascii="仿宋" w:hAnsi="仿宋" w:eastAsia="仿宋" w:cs="仿宋"/>
      <w:color w:val="000000"/>
      <w:sz w:val="20"/>
      <w:szCs w:val="20"/>
      <w:u w:val="none"/>
    </w:rPr>
  </w:style>
  <w:style w:type="paragraph" w:customStyle="1" w:styleId="42">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43">
    <w:name w:val="05、“(一)”正文三级标题"/>
    <w:basedOn w:val="1"/>
    <w:qFormat/>
    <w:uiPriority w:val="0"/>
    <w:pPr>
      <w:numPr>
        <w:ilvl w:val="1"/>
        <w:numId w:val="2"/>
      </w:numPr>
      <w:tabs>
        <w:tab w:val="left" w:pos="0"/>
      </w:tabs>
      <w:wordWrap w:val="0"/>
      <w:topLinePunct/>
      <w:ind w:firstLine="803" w:firstLineChars="200"/>
    </w:pPr>
  </w:style>
  <w:style w:type="paragraph" w:customStyle="1" w:styleId="44">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5">
    <w:name w:val="_正文段落"/>
    <w:basedOn w:val="1"/>
    <w:qFormat/>
    <w:uiPriority w:val="0"/>
    <w:pPr>
      <w:spacing w:line="360" w:lineRule="auto"/>
    </w:pPr>
    <w:rPr>
      <w:rFonts w:ascii="宋体" w:eastAsia="仿宋_GB2312"/>
      <w:kern w:val="0"/>
      <w:sz w:val="28"/>
    </w:rPr>
  </w:style>
  <w:style w:type="paragraph" w:customStyle="1" w:styleId="46">
    <w:name w:val="表格样式 2 A"/>
    <w:qFormat/>
    <w:uiPriority w:val="0"/>
    <w:pPr>
      <w:widowControl w:val="0"/>
      <w:spacing w:line="280" w:lineRule="exact"/>
      <w:jc w:val="both"/>
    </w:pPr>
    <w:rPr>
      <w:rFonts w:ascii="仿宋" w:hAnsi="仿宋" w:eastAsia="仿宋" w:cs="仿宋"/>
      <w:color w:val="000000"/>
      <w:sz w:val="21"/>
      <w:szCs w:val="21"/>
      <w:lang w:val="zh-TW" w:eastAsia="zh-TW" w:bidi="ar-SA"/>
    </w:rPr>
  </w:style>
  <w:style w:type="paragraph" w:customStyle="1" w:styleId="47">
    <w:name w:val="_Style 3"/>
    <w:basedOn w:val="1"/>
    <w:qFormat/>
    <w:uiPriority w:val="0"/>
    <w:rPr>
      <w:rFonts w:eastAsia="宋体"/>
      <w:sz w:val="21"/>
      <w:szCs w:val="21"/>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49">
    <w:name w:val="12、表格内左对齐正文"/>
    <w:basedOn w:val="1"/>
    <w:qFormat/>
    <w:uiPriority w:val="0"/>
    <w:pPr>
      <w:tabs>
        <w:tab w:val="left" w:pos="0"/>
      </w:tabs>
      <w:wordWrap w:val="0"/>
      <w:topLinePunct/>
      <w:spacing w:line="360" w:lineRule="exact"/>
      <w:ind w:left="48" w:leftChars="20"/>
    </w:pPr>
    <w:rPr>
      <w:snapToGrid w:val="0"/>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1412</Words>
  <Characters>1626</Characters>
  <Lines>933</Lines>
  <Paragraphs>262</Paragraphs>
  <TotalTime>30</TotalTime>
  <ScaleCrop>false</ScaleCrop>
  <LinksUpToDate>false</LinksUpToDate>
  <CharactersWithSpaces>1667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2022-07-07T18:11:00Z</dcterms:created>
  <dc:creator>s</dc:creator>
  <cp:lastModifiedBy>fyk</cp:lastModifiedBy>
  <dcterms:modified xsi:type="dcterms:W3CDTF">2025-06-19T01:30:20Z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2022-09-01T15:46:13Z</vt:filetime>
  </property>
  <property fmtid="{D5CDD505-2E9C-101B-9397-08002B2CF9AE}" pid="4" name="KSOProductBuildVer">
    <vt:lpwstr>2052-12.1.0.21541</vt:lpwstr>
  </property>
  <property fmtid="{D5CDD505-2E9C-101B-9397-08002B2CF9AE}" pid="5" name="ICV">
    <vt:lpwstr>63650138E51447D0A2B6ED8D214C2F1E_13</vt:lpwstr>
  </property>
  <property fmtid="{D5CDD505-2E9C-101B-9397-08002B2CF9AE}" pid="6" name="KSOTemplateDocerSaveRecord">
    <vt:lpwstr>eyJoZGlkIjoiY2I5NDQxNTBiMDk3YjQ4NmFkNzBlZmU2NWUxNThmYzMiLCJ1c2VySWQiOiIxMzI5MDA1MTQ0In0=</vt:lpwstr>
  </property>
</Properties>
</file>